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3A7A" w14:textId="77777777" w:rsidR="007F47C3" w:rsidRDefault="007F47C3" w:rsidP="00730346">
      <w:pPr>
        <w:spacing w:before="120" w:after="120" w:line="276" w:lineRule="auto"/>
        <w:ind w:left="714" w:hanging="357"/>
        <w:jc w:val="center"/>
        <w:rPr>
          <w:rFonts w:ascii="Calibri"/>
          <w:b/>
          <w:color w:val="000000"/>
          <w:sz w:val="28"/>
          <w:lang w:val="nl-NL"/>
        </w:rPr>
      </w:pPr>
    </w:p>
    <w:p w14:paraId="5A4F1378" w14:textId="77777777" w:rsidR="007F47C3" w:rsidRDefault="007F47C3" w:rsidP="00730346">
      <w:pPr>
        <w:spacing w:before="120" w:after="120" w:line="276" w:lineRule="auto"/>
        <w:ind w:left="714" w:hanging="357"/>
        <w:jc w:val="center"/>
        <w:rPr>
          <w:rFonts w:ascii="Calibri"/>
          <w:b/>
          <w:color w:val="000000"/>
          <w:sz w:val="28"/>
          <w:lang w:val="nl-NL"/>
        </w:rPr>
      </w:pPr>
    </w:p>
    <w:p w14:paraId="00816F30" w14:textId="77777777" w:rsidR="007F47C3" w:rsidRDefault="007F47C3" w:rsidP="00730346">
      <w:pPr>
        <w:spacing w:before="120" w:after="120" w:line="276" w:lineRule="auto"/>
        <w:ind w:left="714" w:hanging="357"/>
        <w:jc w:val="center"/>
        <w:rPr>
          <w:rFonts w:ascii="Calibri"/>
          <w:b/>
          <w:color w:val="000000"/>
          <w:sz w:val="28"/>
          <w:lang w:val="nl-NL"/>
        </w:rPr>
      </w:pPr>
    </w:p>
    <w:p w14:paraId="4215FF2C" w14:textId="26AAC62D" w:rsidR="00F04478" w:rsidRDefault="00191011" w:rsidP="00730346">
      <w:pPr>
        <w:spacing w:before="120" w:after="120" w:line="276" w:lineRule="auto"/>
        <w:ind w:left="714" w:hanging="357"/>
        <w:jc w:val="center"/>
        <w:rPr>
          <w:rFonts w:cstheme="minorHAnsi"/>
          <w:b/>
          <w:bCs/>
          <w:sz w:val="28"/>
          <w:szCs w:val="28"/>
        </w:rPr>
      </w:pPr>
      <w:r w:rsidRPr="001F711B">
        <w:rPr>
          <w:rFonts w:cstheme="minorHAnsi"/>
          <w:b/>
          <w:i/>
          <w:noProof/>
          <w:sz w:val="24"/>
          <w:szCs w:val="24"/>
        </w:rPr>
        <w:drawing>
          <wp:anchor distT="0" distB="0" distL="114300" distR="114300" simplePos="0" relativeHeight="251659264" behindDoc="0" locked="0" layoutInCell="1" allowOverlap="1" wp14:anchorId="2E899ED9" wp14:editId="4F5B4594">
            <wp:simplePos x="0" y="0"/>
            <wp:positionH relativeFrom="column">
              <wp:posOffset>4972050</wp:posOffset>
            </wp:positionH>
            <wp:positionV relativeFrom="paragraph">
              <wp:posOffset>-763270</wp:posOffset>
            </wp:positionV>
            <wp:extent cx="1350000" cy="554400"/>
            <wp:effectExtent l="0" t="0" r="317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000" cy="554400"/>
                    </a:xfrm>
                    <a:prstGeom prst="rect">
                      <a:avLst/>
                    </a:prstGeom>
                    <a:noFill/>
                  </pic:spPr>
                </pic:pic>
              </a:graphicData>
            </a:graphic>
            <wp14:sizeRelH relativeFrom="margin">
              <wp14:pctWidth>0</wp14:pctWidth>
            </wp14:sizeRelH>
            <wp14:sizeRelV relativeFrom="margin">
              <wp14:pctHeight>0</wp14:pctHeight>
            </wp14:sizeRelV>
          </wp:anchor>
        </w:drawing>
      </w:r>
      <w:r w:rsidR="007F47C3" w:rsidRPr="007F47C3">
        <w:rPr>
          <w:rFonts w:ascii="Calibri"/>
          <w:b/>
          <w:color w:val="000000"/>
          <w:sz w:val="28"/>
          <w:lang w:val="nl-NL"/>
        </w:rPr>
        <w:t xml:space="preserve"> KOOR ESG SICAV a.s., </w:t>
      </w:r>
      <w:r w:rsidR="007F47C3" w:rsidRPr="00AB7CCC">
        <w:rPr>
          <w:rFonts w:ascii="Calibri"/>
          <w:b/>
          <w:color w:val="000000"/>
          <w:sz w:val="28"/>
          <w:lang w:val="nl-NL"/>
        </w:rPr>
        <w:t>KOOR ESG podfond</w:t>
      </w:r>
      <w:r w:rsidR="007F47C3">
        <w:rPr>
          <w:rFonts w:ascii="Calibri"/>
          <w:b/>
          <w:color w:val="000000"/>
          <w:sz w:val="28"/>
          <w:lang w:val="nl-NL"/>
        </w:rPr>
        <w:t xml:space="preserve">         </w:t>
      </w:r>
    </w:p>
    <w:p w14:paraId="788510E9" w14:textId="77777777" w:rsidR="007F47C3" w:rsidRPr="00191011" w:rsidRDefault="007F47C3" w:rsidP="00730346">
      <w:pPr>
        <w:spacing w:before="120" w:after="120" w:line="276" w:lineRule="auto"/>
        <w:ind w:left="714" w:hanging="357"/>
        <w:jc w:val="center"/>
        <w:rPr>
          <w:rFonts w:cstheme="minorHAnsi"/>
          <w:b/>
          <w:bCs/>
          <w:sz w:val="28"/>
          <w:szCs w:val="28"/>
        </w:rPr>
      </w:pPr>
    </w:p>
    <w:p w14:paraId="4635060A" w14:textId="50F698CF" w:rsidR="00335E82" w:rsidRPr="00191011" w:rsidRDefault="00335E82" w:rsidP="00335E82">
      <w:pPr>
        <w:spacing w:after="0" w:line="276" w:lineRule="auto"/>
        <w:jc w:val="both"/>
        <w:rPr>
          <w:rFonts w:cstheme="minorHAnsi"/>
        </w:rPr>
      </w:pPr>
      <w:r w:rsidRPr="00191011">
        <w:rPr>
          <w:rFonts w:cstheme="minorHAnsi"/>
          <w:b/>
          <w:bCs/>
        </w:rPr>
        <w:t>CODYA investiční společnost, a.s.</w:t>
      </w:r>
      <w:r w:rsidRPr="00191011">
        <w:rPr>
          <w:rFonts w:cstheme="minorHAnsi"/>
        </w:rPr>
        <w:t>, IČ</w:t>
      </w:r>
      <w:r w:rsidR="00191011" w:rsidRPr="00191011">
        <w:rPr>
          <w:rFonts w:cstheme="minorHAnsi"/>
        </w:rPr>
        <w:t>O</w:t>
      </w:r>
      <w:r w:rsidRPr="00191011">
        <w:rPr>
          <w:rFonts w:cstheme="minorHAnsi"/>
        </w:rPr>
        <w:t>: 068</w:t>
      </w:r>
      <w:r w:rsidR="00191011" w:rsidRPr="00191011">
        <w:rPr>
          <w:rFonts w:cstheme="minorHAnsi"/>
        </w:rPr>
        <w:t xml:space="preserve"> </w:t>
      </w:r>
      <w:r w:rsidRPr="00191011">
        <w:rPr>
          <w:rFonts w:cstheme="minorHAnsi"/>
        </w:rPr>
        <w:t>76</w:t>
      </w:r>
      <w:r w:rsidR="00191011" w:rsidRPr="00191011">
        <w:rPr>
          <w:rFonts w:cstheme="minorHAnsi"/>
        </w:rPr>
        <w:t xml:space="preserve"> </w:t>
      </w:r>
      <w:r w:rsidRPr="00191011">
        <w:rPr>
          <w:rFonts w:cstheme="minorHAnsi"/>
        </w:rPr>
        <w:t xml:space="preserve">897, se sídlem </w:t>
      </w:r>
      <w:r w:rsidR="00433200" w:rsidRPr="00433200">
        <w:rPr>
          <w:rFonts w:cstheme="minorHAnsi"/>
        </w:rPr>
        <w:t xml:space="preserve"> </w:t>
      </w:r>
      <w:r w:rsidR="00433200" w:rsidRPr="00BD7476">
        <w:rPr>
          <w:rFonts w:cstheme="minorHAnsi"/>
        </w:rPr>
        <w:t>Lidická 1879/48</w:t>
      </w:r>
      <w:r w:rsidR="00433200" w:rsidRPr="00191011">
        <w:rPr>
          <w:rFonts w:cstheme="minorHAnsi"/>
        </w:rPr>
        <w:t xml:space="preserve">, </w:t>
      </w:r>
      <w:r w:rsidR="00433200" w:rsidRPr="00BD7476">
        <w:rPr>
          <w:rFonts w:cstheme="minorHAnsi"/>
        </w:rPr>
        <w:t>Černá Pole</w:t>
      </w:r>
      <w:r w:rsidR="00433200" w:rsidRPr="00191011">
        <w:rPr>
          <w:rFonts w:cstheme="minorHAnsi"/>
        </w:rPr>
        <w:t xml:space="preserve">, </w:t>
      </w:r>
      <w:r w:rsidR="00433200">
        <w:rPr>
          <w:rFonts w:cstheme="minorHAnsi"/>
        </w:rPr>
        <w:t>602 00</w:t>
      </w:r>
      <w:r w:rsidR="00433200" w:rsidRPr="00191011">
        <w:rPr>
          <w:rFonts w:cstheme="minorHAnsi"/>
        </w:rPr>
        <w:t xml:space="preserve"> </w:t>
      </w:r>
      <w:r w:rsidR="00433200">
        <w:rPr>
          <w:rFonts w:cstheme="minorHAnsi"/>
        </w:rPr>
        <w:t xml:space="preserve">Brno, </w:t>
      </w:r>
      <w:r w:rsidRPr="00191011">
        <w:rPr>
          <w:rFonts w:cstheme="minorHAnsi"/>
        </w:rPr>
        <w:t>Česká republika, zapsaná v obchodním rejstříku vedeném Krajským soudem v Brně, oddíl B, vložka 7923 (dále jen „</w:t>
      </w:r>
      <w:r w:rsidRPr="00191011">
        <w:rPr>
          <w:rFonts w:cstheme="minorHAnsi"/>
          <w:b/>
        </w:rPr>
        <w:t>Společnost</w:t>
      </w:r>
      <w:r w:rsidRPr="00191011">
        <w:rPr>
          <w:rFonts w:cstheme="minorHAnsi"/>
        </w:rPr>
        <w:t xml:space="preserve">“) tímto zveřejňuje informace v souladu s čl. 24 Nařízení Komise v přenesené působnosti (EU) 2022/1288 ze dne 6. dubna 2022, </w:t>
      </w:r>
      <w:r w:rsidRPr="00191011">
        <w:rPr>
          <w:rFonts w:cstheme="minorHAnsi"/>
          <w:color w:val="000000"/>
        </w:rPr>
        <w:t>kterým se doplňuje nařízení Evropského parlamentu a Rady (EU) 2019/2088, pokud jde o regulační technické normy, které upřesňují podrobnosti týkající se obsahu a struktury informací ve vztahu k zásadě „významně nepoškozovat“ a které upřesňují obsah, metodologie a strukturu informací ve vztahu k ukazatelům udržitelnosti a nepříznivým dopadům na udržitelnost a obsah a strukturu informací ve vztahu k prosazování environmentálních nebo sociálních vlastností a cílů udržitelných investic v dokumentech před uzavřením smlouvy, na webových stránkách a v pravidelných zprávách (dále jen „</w:t>
      </w:r>
      <w:r w:rsidRPr="00191011">
        <w:rPr>
          <w:rFonts w:cstheme="minorHAnsi"/>
          <w:b/>
          <w:bCs/>
          <w:color w:val="000000"/>
        </w:rPr>
        <w:t>SFDR</w:t>
      </w:r>
      <w:r w:rsidRPr="00191011">
        <w:rPr>
          <w:rFonts w:cstheme="minorHAnsi"/>
          <w:color w:val="000000"/>
        </w:rPr>
        <w:t xml:space="preserve">“) </w:t>
      </w:r>
      <w:r w:rsidRPr="00191011">
        <w:rPr>
          <w:rFonts w:cstheme="minorHAnsi"/>
        </w:rPr>
        <w:t>o tomto finančním produktu:</w:t>
      </w:r>
    </w:p>
    <w:p w14:paraId="4CDABE50" w14:textId="77777777" w:rsidR="00335E82" w:rsidRPr="00191011" w:rsidRDefault="00335E82" w:rsidP="00335E82">
      <w:pPr>
        <w:spacing w:after="0" w:line="276" w:lineRule="auto"/>
        <w:jc w:val="both"/>
        <w:rPr>
          <w:rFonts w:cstheme="minorHAnsi"/>
        </w:rPr>
      </w:pPr>
    </w:p>
    <w:p w14:paraId="355ED58B" w14:textId="0FF28711" w:rsidR="00335E82" w:rsidRDefault="00335E82" w:rsidP="00335E82">
      <w:pPr>
        <w:spacing w:after="0" w:line="276" w:lineRule="auto"/>
        <w:jc w:val="both"/>
        <w:rPr>
          <w:rFonts w:cstheme="minorHAnsi"/>
        </w:rPr>
      </w:pPr>
      <w:r w:rsidRPr="00191011">
        <w:rPr>
          <w:rFonts w:cstheme="minorHAnsi"/>
        </w:rPr>
        <w:t xml:space="preserve">Fondu </w:t>
      </w:r>
      <w:r w:rsidR="00763EFA">
        <w:rPr>
          <w:rFonts w:cstheme="minorHAnsi"/>
        </w:rPr>
        <w:t xml:space="preserve">KOOR </w:t>
      </w:r>
      <w:r w:rsidRPr="00191011">
        <w:rPr>
          <w:rFonts w:cstheme="minorHAnsi"/>
        </w:rPr>
        <w:t xml:space="preserve">ESG SICAV, a.s., </w:t>
      </w:r>
      <w:r w:rsidR="008E3768" w:rsidRPr="00191011">
        <w:rPr>
          <w:rFonts w:cstheme="minorHAnsi"/>
        </w:rPr>
        <w:t>IČO</w:t>
      </w:r>
      <w:r w:rsidR="008E3768">
        <w:rPr>
          <w:rFonts w:cstheme="minorHAnsi"/>
        </w:rPr>
        <w:t>:</w:t>
      </w:r>
      <w:r w:rsidR="008E3768" w:rsidRPr="00191011">
        <w:rPr>
          <w:rFonts w:cstheme="minorHAnsi"/>
        </w:rPr>
        <w:t xml:space="preserve"> </w:t>
      </w:r>
      <w:r w:rsidR="00F62B9D" w:rsidRPr="00F62B9D">
        <w:rPr>
          <w:rFonts w:cstheme="minorHAnsi"/>
        </w:rPr>
        <w:t>173</w:t>
      </w:r>
      <w:r w:rsidR="00F62B9D">
        <w:rPr>
          <w:rFonts w:cstheme="minorHAnsi"/>
        </w:rPr>
        <w:t> </w:t>
      </w:r>
      <w:r w:rsidR="00F62B9D" w:rsidRPr="00F62B9D">
        <w:rPr>
          <w:rFonts w:cstheme="minorHAnsi"/>
        </w:rPr>
        <w:t>281</w:t>
      </w:r>
      <w:r w:rsidR="00F62B9D">
        <w:rPr>
          <w:rFonts w:cstheme="minorHAnsi"/>
        </w:rPr>
        <w:t xml:space="preserve"> </w:t>
      </w:r>
      <w:r w:rsidR="00F62B9D" w:rsidRPr="00F62B9D">
        <w:rPr>
          <w:rFonts w:cstheme="minorHAnsi"/>
        </w:rPr>
        <w:t>87</w:t>
      </w:r>
      <w:r w:rsidR="008E3768">
        <w:rPr>
          <w:rFonts w:cstheme="minorHAnsi"/>
        </w:rPr>
        <w:t xml:space="preserve">, </w:t>
      </w:r>
      <w:r w:rsidRPr="00191011">
        <w:rPr>
          <w:rFonts w:cstheme="minorHAnsi"/>
        </w:rPr>
        <w:t xml:space="preserve">se sídlem </w:t>
      </w:r>
      <w:r w:rsidR="00D84516" w:rsidRPr="00D84516">
        <w:rPr>
          <w:rFonts w:cstheme="minorHAnsi"/>
        </w:rPr>
        <w:t>Lomnického 1742/</w:t>
      </w:r>
      <w:proofErr w:type="gramStart"/>
      <w:r w:rsidR="00D84516" w:rsidRPr="00D84516">
        <w:rPr>
          <w:rFonts w:cstheme="minorHAnsi"/>
        </w:rPr>
        <w:t>2a</w:t>
      </w:r>
      <w:proofErr w:type="gramEnd"/>
      <w:r w:rsidR="00D84516" w:rsidRPr="00D84516">
        <w:rPr>
          <w:rFonts w:cstheme="minorHAnsi"/>
        </w:rPr>
        <w:t xml:space="preserve">, Nusle, </w:t>
      </w:r>
      <w:r w:rsidRPr="00191011">
        <w:rPr>
          <w:rFonts w:cstheme="minorHAnsi"/>
        </w:rPr>
        <w:t xml:space="preserve">140 00 Praha 4, společnost zapsaná v obchodním rejstříku vedeném Městským soudem v Praze, spisová značka B </w:t>
      </w:r>
      <w:r w:rsidR="00523A76" w:rsidRPr="00523A76">
        <w:rPr>
          <w:rFonts w:cstheme="minorHAnsi"/>
        </w:rPr>
        <w:t>27459</w:t>
      </w:r>
      <w:r w:rsidRPr="00191011" w:rsidDel="006765A5">
        <w:rPr>
          <w:rFonts w:cstheme="minorHAnsi"/>
        </w:rPr>
        <w:t xml:space="preserve"> </w:t>
      </w:r>
      <w:r w:rsidRPr="00191011">
        <w:rPr>
          <w:rFonts w:cstheme="minorHAnsi"/>
        </w:rPr>
        <w:t>(dále jen „</w:t>
      </w:r>
      <w:r w:rsidRPr="00191011">
        <w:rPr>
          <w:rFonts w:cstheme="minorHAnsi"/>
          <w:b/>
        </w:rPr>
        <w:t>Fond</w:t>
      </w:r>
      <w:r w:rsidRPr="00191011">
        <w:rPr>
          <w:rFonts w:cstheme="minorHAnsi"/>
        </w:rPr>
        <w:t xml:space="preserve">“) a jeho </w:t>
      </w:r>
      <w:r w:rsidR="00523A76" w:rsidRPr="00523A76">
        <w:rPr>
          <w:rFonts w:cstheme="minorHAnsi"/>
        </w:rPr>
        <w:t>KOOR ESG podfond</w:t>
      </w:r>
      <w:r w:rsidR="00523A76">
        <w:rPr>
          <w:rFonts w:ascii="Calibri"/>
          <w:b/>
          <w:color w:val="000000"/>
          <w:sz w:val="28"/>
        </w:rPr>
        <w:t xml:space="preserve"> </w:t>
      </w:r>
      <w:r w:rsidRPr="00191011">
        <w:rPr>
          <w:rFonts w:cstheme="minorHAnsi"/>
        </w:rPr>
        <w:t>(dále jen „</w:t>
      </w:r>
      <w:r w:rsidRPr="00191011">
        <w:rPr>
          <w:rFonts w:cstheme="minorHAnsi"/>
          <w:b/>
          <w:bCs/>
        </w:rPr>
        <w:t>Podfond</w:t>
      </w:r>
      <w:r w:rsidRPr="00191011">
        <w:rPr>
          <w:rFonts w:cstheme="minorHAnsi"/>
        </w:rPr>
        <w:t>“).</w:t>
      </w:r>
    </w:p>
    <w:p w14:paraId="1B7CE4AA" w14:textId="77777777" w:rsidR="00656075" w:rsidRPr="00191011" w:rsidRDefault="00656075" w:rsidP="00335E82">
      <w:pPr>
        <w:spacing w:after="0" w:line="276" w:lineRule="auto"/>
        <w:jc w:val="both"/>
        <w:rPr>
          <w:rFonts w:cstheme="minorHAnsi"/>
        </w:rPr>
      </w:pPr>
    </w:p>
    <w:p w14:paraId="48A7D9C3" w14:textId="77777777" w:rsidR="003432D9" w:rsidRPr="00191011" w:rsidRDefault="003432D9" w:rsidP="00730346">
      <w:pPr>
        <w:pStyle w:val="Odstavecseseznamem"/>
        <w:numPr>
          <w:ilvl w:val="0"/>
          <w:numId w:val="2"/>
        </w:numPr>
        <w:spacing w:before="120" w:after="120" w:line="276" w:lineRule="auto"/>
        <w:ind w:left="714" w:hanging="357"/>
        <w:jc w:val="both"/>
        <w:rPr>
          <w:rFonts w:cstheme="minorHAnsi"/>
          <w:b/>
          <w:bCs/>
        </w:rPr>
      </w:pPr>
      <w:r w:rsidRPr="00191011">
        <w:rPr>
          <w:rFonts w:cstheme="minorHAnsi"/>
          <w:b/>
          <w:bCs/>
          <w:sz w:val="24"/>
          <w:szCs w:val="24"/>
        </w:rPr>
        <w:t>Shrnutí</w:t>
      </w:r>
    </w:p>
    <w:p w14:paraId="6A59DB50" w14:textId="7408CB22" w:rsidR="00CB1624" w:rsidRPr="00191011" w:rsidRDefault="008B7A95" w:rsidP="00730346">
      <w:pPr>
        <w:spacing w:after="0" w:line="276" w:lineRule="auto"/>
        <w:jc w:val="both"/>
        <w:rPr>
          <w:rFonts w:cstheme="minorHAnsi"/>
        </w:rPr>
      </w:pPr>
      <w:r w:rsidRPr="00191011">
        <w:rPr>
          <w:rFonts w:cstheme="minorHAnsi"/>
        </w:rPr>
        <w:t>Fond</w:t>
      </w:r>
      <w:r w:rsidR="00CB1624" w:rsidRPr="00191011">
        <w:rPr>
          <w:rFonts w:cstheme="minorHAnsi"/>
        </w:rPr>
        <w:t xml:space="preserve"> je investičním fondem kvalifikovaných investorů ve formě akciové společnosti s proměnlivým základním kapitálem tzv. SICAV.</w:t>
      </w:r>
      <w:r w:rsidRPr="00191011">
        <w:rPr>
          <w:rFonts w:cstheme="minorHAnsi"/>
        </w:rPr>
        <w:t xml:space="preserve"> Podfond je účetně a majetkově oddělená část jejího jmění Fondu.</w:t>
      </w:r>
    </w:p>
    <w:p w14:paraId="143F8539" w14:textId="77777777" w:rsidR="00CB1624" w:rsidRDefault="00CB1624" w:rsidP="00730346">
      <w:pPr>
        <w:spacing w:after="0" w:line="276" w:lineRule="auto"/>
        <w:jc w:val="both"/>
        <w:rPr>
          <w:rFonts w:cstheme="minorHAnsi"/>
        </w:rPr>
      </w:pPr>
      <w:r w:rsidRPr="00191011">
        <w:rPr>
          <w:rFonts w:cstheme="minorHAnsi"/>
        </w:rPr>
        <w:t>Obhospodařovatelem a administrátorem Fondu je Společnost, která podléhá dohledu České národní banky.</w:t>
      </w:r>
    </w:p>
    <w:p w14:paraId="04D1BE6A" w14:textId="77777777" w:rsidR="00865273" w:rsidRPr="00865273" w:rsidRDefault="00865273" w:rsidP="00865273">
      <w:pPr>
        <w:spacing w:after="0" w:line="276" w:lineRule="auto"/>
        <w:jc w:val="both"/>
        <w:rPr>
          <w:rFonts w:cstheme="minorHAnsi"/>
        </w:rPr>
      </w:pPr>
    </w:p>
    <w:p w14:paraId="7D8292EA" w14:textId="77777777" w:rsidR="00865273" w:rsidRDefault="00865273" w:rsidP="00865273">
      <w:pPr>
        <w:spacing w:after="0" w:line="276" w:lineRule="auto"/>
        <w:jc w:val="both"/>
        <w:rPr>
          <w:rFonts w:cstheme="minorHAnsi"/>
        </w:rPr>
      </w:pPr>
      <w:r w:rsidRPr="00865273">
        <w:rPr>
          <w:rFonts w:cstheme="minorHAnsi"/>
        </w:rPr>
        <w:t xml:space="preserve"> Udržitelnou investicí se rozumí investice do hospodářské činnosti, která přispívá k environmentálnímu nebo sociálnímu cíli, přičemž žádný environmentální nebo sociální cíl významně nepoškozuje a společnosti, do nichž je investováno, dodržují postupy řádné správy a řízení. Taxonomie EU je klasifikační systém stanovený v nařízení (EU) 2020/852, kterým se stanoví seznam environmentálně udržitelných hospodářských činností. Uvedené nařízení nestanoví seznam sociálně udržitelných hospodářských činností. Udržitelné investice s environmentálním cílem mohou, ale nemusí být v souladu s taxonomií. </w:t>
      </w:r>
    </w:p>
    <w:p w14:paraId="2FF29021" w14:textId="77777777" w:rsidR="00865273" w:rsidRPr="00865273" w:rsidRDefault="00865273" w:rsidP="00865273">
      <w:pPr>
        <w:spacing w:after="0" w:line="276" w:lineRule="auto"/>
        <w:jc w:val="both"/>
        <w:rPr>
          <w:rFonts w:cstheme="minorHAnsi"/>
        </w:rPr>
      </w:pPr>
    </w:p>
    <w:p w14:paraId="7F20A370" w14:textId="154B13DF" w:rsidR="00865273" w:rsidRDefault="00865273" w:rsidP="00865273">
      <w:pPr>
        <w:spacing w:after="0" w:line="276" w:lineRule="auto"/>
        <w:jc w:val="both"/>
        <w:rPr>
          <w:rFonts w:cstheme="minorHAnsi"/>
        </w:rPr>
      </w:pPr>
      <w:r w:rsidRPr="00865273">
        <w:rPr>
          <w:rFonts w:cstheme="minorHAnsi"/>
        </w:rPr>
        <w:t>Odpovědné investování je dlouhodobě orientovaný investiční přístup, který spočívá v zohlednění široké perspektivy investičního procesu, který se zaměřuje nejen na ekonomické faktory, ale také na aspekty udržitelnosti a odpovědnosti. Odpovědné investování kombinuje základní investiční analýzu a hodnocení plnění faktorů ekologických, společenských a podnikového řízení (</w:t>
      </w:r>
      <w:proofErr w:type="spellStart"/>
      <w:r w:rsidRPr="00865273">
        <w:rPr>
          <w:rFonts w:cstheme="minorHAnsi"/>
        </w:rPr>
        <w:t>Environmental</w:t>
      </w:r>
      <w:proofErr w:type="spellEnd"/>
      <w:r w:rsidRPr="00865273">
        <w:rPr>
          <w:rFonts w:cstheme="minorHAnsi"/>
        </w:rPr>
        <w:t xml:space="preserve">, </w:t>
      </w:r>
      <w:proofErr w:type="spellStart"/>
      <w:r w:rsidRPr="00865273">
        <w:rPr>
          <w:rFonts w:cstheme="minorHAnsi"/>
        </w:rPr>
        <w:t>Social</w:t>
      </w:r>
      <w:proofErr w:type="spellEnd"/>
      <w:r w:rsidRPr="00865273">
        <w:rPr>
          <w:rFonts w:cstheme="minorHAnsi"/>
        </w:rPr>
        <w:t xml:space="preserve">, Governance, souhrnně též „ESG“) s cílem dosažení vyšších dlouhodobých výnosů pro investory a </w:t>
      </w:r>
      <w:r w:rsidRPr="00865273">
        <w:rPr>
          <w:rFonts w:cstheme="minorHAnsi"/>
        </w:rPr>
        <w:lastRenderedPageBreak/>
        <w:t>zároveň dosažení pozitivního vlivu na odpovědné a udržitelné chování emitentů cenných papírů. Podfond investuje pouze do společností s odpovědnými postupy pro správu a řízení.</w:t>
      </w:r>
    </w:p>
    <w:p w14:paraId="38768576" w14:textId="77777777" w:rsidR="00865273" w:rsidRDefault="00865273" w:rsidP="00865273">
      <w:pPr>
        <w:spacing w:after="0" w:line="276" w:lineRule="auto"/>
        <w:jc w:val="both"/>
        <w:rPr>
          <w:rFonts w:cstheme="minorHAnsi"/>
        </w:rPr>
      </w:pPr>
    </w:p>
    <w:p w14:paraId="0F6D266E" w14:textId="757201E5" w:rsidR="00865273" w:rsidRDefault="00865273" w:rsidP="00865273">
      <w:pPr>
        <w:spacing w:after="0" w:line="276" w:lineRule="auto"/>
        <w:jc w:val="both"/>
        <w:rPr>
          <w:rFonts w:cstheme="minorHAnsi"/>
        </w:rPr>
      </w:pPr>
      <w:r w:rsidRPr="00865273">
        <w:rPr>
          <w:rFonts w:cstheme="minorHAnsi"/>
        </w:rPr>
        <w:t>Podfond prosazuje environmentální vlastnosti, a přestože nesleduje cíl udržitelných investic, bude mít udržitelné investice s environmentálním cílem do hospodářských činností, které se podle taxonomie EU nekvalifikují jako environmentálně udržitelné. Investiční cíl a strategie Podfondu budou sledovány s přihlédnutím k ESG charakteristikám společností, do kterých Podfond investuje v rámci investičního procesu. Výběr aktiv je založen na zvážení finančních i nefinančních kritérií. Podfond prosazuje ESG charakteristiky podle čl. 8 nařízení (EU) 2019/2088.</w:t>
      </w:r>
    </w:p>
    <w:p w14:paraId="4495201B" w14:textId="77777777" w:rsidR="00865273" w:rsidRDefault="00865273" w:rsidP="00865273">
      <w:pPr>
        <w:spacing w:after="0" w:line="276" w:lineRule="auto"/>
        <w:jc w:val="both"/>
        <w:rPr>
          <w:rFonts w:cstheme="minorHAnsi"/>
        </w:rPr>
      </w:pPr>
    </w:p>
    <w:p w14:paraId="043F220E" w14:textId="77777777" w:rsidR="004877A1" w:rsidRPr="004877A1" w:rsidRDefault="004877A1" w:rsidP="004877A1">
      <w:pPr>
        <w:spacing w:after="0" w:line="276" w:lineRule="auto"/>
        <w:jc w:val="both"/>
        <w:rPr>
          <w:rFonts w:cstheme="minorHAnsi"/>
        </w:rPr>
      </w:pPr>
      <w:r w:rsidRPr="004877A1">
        <w:rPr>
          <w:rFonts w:cstheme="minorHAnsi"/>
        </w:rPr>
        <w:t xml:space="preserve"> Cílem investiční strategie je dosáhnout dlouhodobé zhodnocení vložených prostředků, především prostřednictvím investic do účastí v kapitálových obchodních společnostech, pohledávek a poskytování zajištěných úvěrů a zápůjček. Prioritou Podfondu je investovat zejména do společností, které svojí činností investují do zvýšení energetické efektivnosti a projektů, kde dochází k úspoře energií, a to s využitím nástrojů usnadňující realizaci takových projektů, jako jsou: </w:t>
      </w:r>
    </w:p>
    <w:p w14:paraId="050A352D" w14:textId="6C4DEA8F" w:rsidR="004877A1" w:rsidRPr="004877A1" w:rsidRDefault="004877A1" w:rsidP="00057EEF">
      <w:pPr>
        <w:spacing w:after="0" w:line="276" w:lineRule="auto"/>
        <w:jc w:val="both"/>
        <w:rPr>
          <w:rFonts w:cstheme="minorHAnsi"/>
        </w:rPr>
      </w:pPr>
      <w:r>
        <w:rPr>
          <w:rFonts w:cstheme="minorHAnsi"/>
        </w:rPr>
        <w:t xml:space="preserve">     </w:t>
      </w:r>
      <w:r w:rsidRPr="004877A1">
        <w:rPr>
          <w:rFonts w:cstheme="minorHAnsi"/>
        </w:rPr>
        <w:t xml:space="preserve">• GES - Garantované energetické služby, </w:t>
      </w:r>
    </w:p>
    <w:p w14:paraId="73A6BAC3" w14:textId="1A000071" w:rsidR="004877A1" w:rsidRPr="004877A1" w:rsidRDefault="004877A1" w:rsidP="00057EEF">
      <w:pPr>
        <w:spacing w:after="0" w:line="276" w:lineRule="auto"/>
        <w:jc w:val="both"/>
        <w:rPr>
          <w:rFonts w:cstheme="minorHAnsi"/>
        </w:rPr>
      </w:pPr>
      <w:r>
        <w:rPr>
          <w:rFonts w:cstheme="minorHAnsi"/>
        </w:rPr>
        <w:t xml:space="preserve">     </w:t>
      </w:r>
      <w:r w:rsidRPr="004877A1">
        <w:rPr>
          <w:rFonts w:cstheme="minorHAnsi"/>
        </w:rPr>
        <w:t xml:space="preserve">• EPC - Energetické služby splácené z úspor, </w:t>
      </w:r>
    </w:p>
    <w:p w14:paraId="5E57CC9D" w14:textId="3D16D375" w:rsidR="004877A1" w:rsidRPr="004877A1" w:rsidRDefault="004877A1" w:rsidP="00057EEF">
      <w:pPr>
        <w:spacing w:after="0" w:line="276" w:lineRule="auto"/>
        <w:jc w:val="both"/>
        <w:rPr>
          <w:rFonts w:cstheme="minorHAnsi"/>
        </w:rPr>
      </w:pPr>
      <w:r>
        <w:rPr>
          <w:rFonts w:cstheme="minorHAnsi"/>
        </w:rPr>
        <w:t xml:space="preserve">     </w:t>
      </w:r>
      <w:r w:rsidRPr="004877A1">
        <w:rPr>
          <w:rFonts w:cstheme="minorHAnsi"/>
        </w:rPr>
        <w:t xml:space="preserve">• PBC - Performance base </w:t>
      </w:r>
      <w:proofErr w:type="spellStart"/>
      <w:r w:rsidRPr="004877A1">
        <w:rPr>
          <w:rFonts w:cstheme="minorHAnsi"/>
        </w:rPr>
        <w:t>contract</w:t>
      </w:r>
      <w:proofErr w:type="spellEnd"/>
      <w:r w:rsidRPr="004877A1">
        <w:rPr>
          <w:rFonts w:cstheme="minorHAnsi"/>
        </w:rPr>
        <w:t xml:space="preserve">, </w:t>
      </w:r>
    </w:p>
    <w:p w14:paraId="695193F3" w14:textId="7714BDAB" w:rsidR="004877A1" w:rsidRPr="004877A1" w:rsidRDefault="004877A1" w:rsidP="00057EEF">
      <w:pPr>
        <w:spacing w:after="0" w:line="276" w:lineRule="auto"/>
        <w:jc w:val="both"/>
        <w:rPr>
          <w:rFonts w:cstheme="minorHAnsi"/>
        </w:rPr>
      </w:pPr>
      <w:r>
        <w:rPr>
          <w:rFonts w:cstheme="minorHAnsi"/>
        </w:rPr>
        <w:t xml:space="preserve">     </w:t>
      </w:r>
      <w:r w:rsidRPr="004877A1">
        <w:rPr>
          <w:rFonts w:cstheme="minorHAnsi"/>
        </w:rPr>
        <w:t xml:space="preserve">• EC - Energetický </w:t>
      </w:r>
      <w:proofErr w:type="spellStart"/>
      <w:r w:rsidRPr="004877A1">
        <w:rPr>
          <w:rFonts w:cstheme="minorHAnsi"/>
        </w:rPr>
        <w:t>contracting</w:t>
      </w:r>
      <w:proofErr w:type="spellEnd"/>
      <w:r w:rsidRPr="004877A1">
        <w:rPr>
          <w:rFonts w:cstheme="minorHAnsi"/>
        </w:rPr>
        <w:t xml:space="preserve">, </w:t>
      </w:r>
    </w:p>
    <w:p w14:paraId="03F7828D" w14:textId="68DE36CB" w:rsidR="004877A1" w:rsidRPr="004877A1" w:rsidRDefault="004877A1" w:rsidP="00057EEF">
      <w:pPr>
        <w:spacing w:after="0" w:line="276" w:lineRule="auto"/>
        <w:jc w:val="both"/>
        <w:rPr>
          <w:rFonts w:cstheme="minorHAnsi"/>
        </w:rPr>
      </w:pPr>
      <w:r>
        <w:rPr>
          <w:rFonts w:cstheme="minorHAnsi"/>
        </w:rPr>
        <w:t xml:space="preserve">     </w:t>
      </w:r>
      <w:r w:rsidRPr="004877A1">
        <w:rPr>
          <w:rFonts w:cstheme="minorHAnsi"/>
        </w:rPr>
        <w:t xml:space="preserve">• PPA - </w:t>
      </w:r>
      <w:proofErr w:type="spellStart"/>
      <w:r w:rsidRPr="004877A1">
        <w:rPr>
          <w:rFonts w:cstheme="minorHAnsi"/>
        </w:rPr>
        <w:t>Power</w:t>
      </w:r>
      <w:proofErr w:type="spellEnd"/>
      <w:r w:rsidRPr="004877A1">
        <w:rPr>
          <w:rFonts w:cstheme="minorHAnsi"/>
        </w:rPr>
        <w:t xml:space="preserve"> </w:t>
      </w:r>
      <w:proofErr w:type="spellStart"/>
      <w:r w:rsidRPr="004877A1">
        <w:rPr>
          <w:rFonts w:cstheme="minorHAnsi"/>
        </w:rPr>
        <w:t>purchase</w:t>
      </w:r>
      <w:proofErr w:type="spellEnd"/>
      <w:r w:rsidRPr="004877A1">
        <w:rPr>
          <w:rFonts w:cstheme="minorHAnsi"/>
        </w:rPr>
        <w:t xml:space="preserve"> </w:t>
      </w:r>
      <w:proofErr w:type="spellStart"/>
      <w:r w:rsidRPr="004877A1">
        <w:rPr>
          <w:rFonts w:cstheme="minorHAnsi"/>
        </w:rPr>
        <w:t>agreement</w:t>
      </w:r>
      <w:proofErr w:type="spellEnd"/>
      <w:r w:rsidRPr="004877A1">
        <w:rPr>
          <w:rFonts w:cstheme="minorHAnsi"/>
        </w:rPr>
        <w:t xml:space="preserve">, </w:t>
      </w:r>
    </w:p>
    <w:p w14:paraId="4957FED0" w14:textId="79613E36" w:rsidR="004877A1" w:rsidRPr="004877A1" w:rsidRDefault="004877A1" w:rsidP="00057EEF">
      <w:pPr>
        <w:spacing w:after="0" w:line="276" w:lineRule="auto"/>
        <w:jc w:val="both"/>
        <w:rPr>
          <w:rFonts w:cstheme="minorHAnsi"/>
        </w:rPr>
      </w:pPr>
      <w:r>
        <w:rPr>
          <w:rFonts w:cstheme="minorHAnsi"/>
        </w:rPr>
        <w:t xml:space="preserve">     </w:t>
      </w:r>
      <w:r w:rsidRPr="004877A1">
        <w:rPr>
          <w:rFonts w:cstheme="minorHAnsi"/>
        </w:rPr>
        <w:t xml:space="preserve">• OZE zařízení na výrobu EE, </w:t>
      </w:r>
    </w:p>
    <w:p w14:paraId="4FD7561E" w14:textId="630A10B8" w:rsidR="004877A1" w:rsidRDefault="004877A1" w:rsidP="004877A1">
      <w:pPr>
        <w:spacing w:after="0" w:line="276" w:lineRule="auto"/>
        <w:jc w:val="both"/>
        <w:rPr>
          <w:rFonts w:cstheme="minorHAnsi"/>
        </w:rPr>
      </w:pPr>
      <w:r>
        <w:rPr>
          <w:rFonts w:cstheme="minorHAnsi"/>
        </w:rPr>
        <w:t xml:space="preserve">     </w:t>
      </w:r>
      <w:r w:rsidRPr="004877A1">
        <w:rPr>
          <w:rFonts w:cstheme="minorHAnsi"/>
        </w:rPr>
        <w:t xml:space="preserve">• BESS - </w:t>
      </w:r>
      <w:proofErr w:type="spellStart"/>
      <w:r w:rsidRPr="004877A1">
        <w:rPr>
          <w:rFonts w:cstheme="minorHAnsi"/>
        </w:rPr>
        <w:t>Beteriová</w:t>
      </w:r>
      <w:proofErr w:type="spellEnd"/>
      <w:r w:rsidRPr="004877A1">
        <w:rPr>
          <w:rFonts w:cstheme="minorHAnsi"/>
        </w:rPr>
        <w:t xml:space="preserve"> energetická zařízení. </w:t>
      </w:r>
    </w:p>
    <w:p w14:paraId="5F18CC79" w14:textId="77777777" w:rsidR="008D7F95" w:rsidRDefault="008D7F95" w:rsidP="004877A1">
      <w:pPr>
        <w:spacing w:after="0" w:line="276" w:lineRule="auto"/>
        <w:jc w:val="both"/>
        <w:rPr>
          <w:rFonts w:cstheme="minorHAnsi"/>
        </w:rPr>
      </w:pPr>
    </w:p>
    <w:p w14:paraId="3C78D93B" w14:textId="77777777" w:rsidR="008D7F95" w:rsidRPr="008D7F95" w:rsidRDefault="008D7F95" w:rsidP="008D7F95">
      <w:pPr>
        <w:spacing w:after="0" w:line="276" w:lineRule="auto"/>
        <w:jc w:val="both"/>
        <w:rPr>
          <w:rFonts w:cstheme="minorHAnsi"/>
        </w:rPr>
      </w:pPr>
      <w:r w:rsidRPr="008D7F95">
        <w:rPr>
          <w:rFonts w:cstheme="minorHAnsi"/>
        </w:rPr>
        <w:t xml:space="preserve">Podfond prosazuje zejména enviromentální vlastnosti. Enviromentální vlastnosti jsou prosazovány zejména tím, že minimálně 60 % investic Podfondu bude naplňovat požadavky na tzv. udržitelné investice ve smyslu Nařízení (EU) 2019/2088, které zároveň nejsou v souladu s taxonomií EU. </w:t>
      </w:r>
    </w:p>
    <w:p w14:paraId="03326F33" w14:textId="77777777" w:rsidR="008D7F95" w:rsidRPr="008D7F95" w:rsidRDefault="008D7F95" w:rsidP="008D7F95">
      <w:pPr>
        <w:spacing w:after="0" w:line="276" w:lineRule="auto"/>
        <w:jc w:val="both"/>
        <w:rPr>
          <w:rFonts w:cstheme="minorHAnsi"/>
        </w:rPr>
      </w:pPr>
      <w:r w:rsidRPr="008D7F95">
        <w:rPr>
          <w:rFonts w:cstheme="minorHAnsi"/>
        </w:rPr>
        <w:t xml:space="preserve">Za udržitelné investice jsou v rámci Podfondu považovány investice do společností a projektů, které investují do zvýšení energetické efektivnosti a úspoře energií. Tyto investice mohou mít podobu zejména investic do účastí v kapitálových obchodních společnostech, pohledávek a poskytování zajištěných úvěrů a zápůjček. Podrobnější informace o vlastnostech udržitelných investic v Podfondu jsou uvedeny níže v sekci “Jaké jsou cíle udržitelných investic, které má finanční produkt částečně provádět, a jak dané udržitelné investice k těmto cílům přispívají?” </w:t>
      </w:r>
    </w:p>
    <w:p w14:paraId="40E0A4EF" w14:textId="77777777" w:rsidR="008D7F95" w:rsidRPr="008D7F95" w:rsidRDefault="008D7F95" w:rsidP="008D7F95">
      <w:pPr>
        <w:spacing w:after="0" w:line="276" w:lineRule="auto"/>
        <w:jc w:val="both"/>
        <w:rPr>
          <w:rFonts w:cstheme="minorHAnsi"/>
        </w:rPr>
      </w:pPr>
      <w:r w:rsidRPr="008D7F95">
        <w:rPr>
          <w:rFonts w:cstheme="minorHAnsi"/>
        </w:rPr>
        <w:t xml:space="preserve">Minimálně 80 % investic Podfond bude prosazovat enviromentální a sociální vlastnosti tím, že u takových investic budou zohledňovány vybrané hlavní nepříznivé dopady na faktory udržitelnosti. Konkrétně Podfond bude uplatňovat vylučovací strategii, která vyloučí investice s expozicí vůči společnostem působícím v odvětví neobnovitelných zdrojů energie (např. jaderné energie), fosilních paliv (včetně výroby energie z ropy, plynu a energetického uhlí) a investic do zbraní (chemické a biologické zbraně, kazetové munice, protipěchotních min, jaderných zbraní, civilních střelných zbraní a konvenčních zbraní). U investic prosazující enviromentální a sociální vlastnosti bude rovněž posuzováno, zda společnosti, do kterých je investováno dodržují postupy řádné správy a řízení. </w:t>
      </w:r>
    </w:p>
    <w:p w14:paraId="05244184" w14:textId="77777777" w:rsidR="008D7F95" w:rsidRPr="008D7F95" w:rsidRDefault="008D7F95" w:rsidP="008D7F95">
      <w:pPr>
        <w:spacing w:after="0" w:line="276" w:lineRule="auto"/>
        <w:jc w:val="both"/>
        <w:rPr>
          <w:rFonts w:cstheme="minorHAnsi"/>
        </w:rPr>
      </w:pPr>
      <w:r w:rsidRPr="008D7F95">
        <w:rPr>
          <w:rFonts w:cstheme="minorHAnsi"/>
        </w:rPr>
        <w:t xml:space="preserve">Investice ve formě účastí v kapitálových obchodních společnostech, jimiž jsou prosazovány enviromentální a sociální vlastnosti, jsou činěny pouze ve vztahu ke společnostem, které disponují uznávanými certifikáty třetích stran osvědčujícími dodržování řádných postupů ve vztahu k principům ESG (environment, </w:t>
      </w:r>
      <w:proofErr w:type="spellStart"/>
      <w:r w:rsidRPr="008D7F95">
        <w:rPr>
          <w:rFonts w:cstheme="minorHAnsi"/>
        </w:rPr>
        <w:t>social</w:t>
      </w:r>
      <w:proofErr w:type="spellEnd"/>
      <w:r w:rsidRPr="008D7F95">
        <w:rPr>
          <w:rFonts w:cstheme="minorHAnsi"/>
        </w:rPr>
        <w:t xml:space="preserve">, governance) – v současnosti zejména certifikát </w:t>
      </w:r>
      <w:proofErr w:type="spellStart"/>
      <w:r w:rsidRPr="008D7F95">
        <w:rPr>
          <w:rFonts w:cstheme="minorHAnsi"/>
        </w:rPr>
        <w:t>EcoVadis</w:t>
      </w:r>
      <w:proofErr w:type="spellEnd"/>
      <w:r w:rsidRPr="008D7F95">
        <w:rPr>
          <w:rFonts w:cstheme="minorHAnsi"/>
        </w:rPr>
        <w:t xml:space="preserve">, a to alespoň ve formě “bronzové medaile” (podrobnosti certifikátu lze nalézt na https://ecovadis.com/). Tímto je </w:t>
      </w:r>
      <w:r w:rsidRPr="008D7F95">
        <w:rPr>
          <w:rFonts w:cstheme="minorHAnsi"/>
        </w:rPr>
        <w:lastRenderedPageBreak/>
        <w:t xml:space="preserve">zajištěno, že tyto společnosti významně nepoškozují jiné environmentální nebo sociální cíle a dodržují postupy řádné správy a řízení. </w:t>
      </w:r>
    </w:p>
    <w:p w14:paraId="295313E2" w14:textId="5AF22384" w:rsidR="008D7F95" w:rsidRPr="004877A1" w:rsidRDefault="008D7F95" w:rsidP="00057EEF">
      <w:pPr>
        <w:spacing w:after="0" w:line="276" w:lineRule="auto"/>
        <w:jc w:val="both"/>
        <w:rPr>
          <w:rFonts w:cstheme="minorHAnsi"/>
        </w:rPr>
      </w:pPr>
      <w:r w:rsidRPr="008D7F95">
        <w:rPr>
          <w:rFonts w:cstheme="minorHAnsi"/>
        </w:rPr>
        <w:t>Za účelem za účelem dosažení environmentálních nebo sociálních vlastností nebyla určena žádná referenční hodnota.</w:t>
      </w:r>
    </w:p>
    <w:p w14:paraId="1FE66A25" w14:textId="77777777" w:rsidR="00865273" w:rsidRPr="00191011" w:rsidRDefault="00865273" w:rsidP="00730346">
      <w:pPr>
        <w:spacing w:after="0" w:line="276" w:lineRule="auto"/>
        <w:jc w:val="both"/>
        <w:rPr>
          <w:rFonts w:cstheme="minorHAnsi"/>
        </w:rPr>
      </w:pPr>
    </w:p>
    <w:p w14:paraId="23B66085" w14:textId="1CD46E3E"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Bez cíle udržitelných investic</w:t>
      </w:r>
    </w:p>
    <w:p w14:paraId="1AA8F055" w14:textId="77777777" w:rsidR="00211057" w:rsidRPr="00191011" w:rsidRDefault="00853A3A" w:rsidP="00730346">
      <w:pPr>
        <w:spacing w:after="0" w:line="276" w:lineRule="auto"/>
        <w:jc w:val="both"/>
        <w:rPr>
          <w:rFonts w:cstheme="minorHAnsi"/>
        </w:rPr>
      </w:pPr>
      <w:r w:rsidRPr="00191011">
        <w:rPr>
          <w:rFonts w:cstheme="minorHAnsi"/>
        </w:rPr>
        <w:t>Tento finanční produkt prosazuje určité environmentální nebo sociální vlastnosti, ale nesleduje cíl udržitelných investic.</w:t>
      </w:r>
    </w:p>
    <w:p w14:paraId="2611511A" w14:textId="540D442E" w:rsidR="003C6A2D"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Environmentální nebo sociální vlastnosti finančního produktu</w:t>
      </w:r>
      <w:r w:rsidR="003C6A2D" w:rsidRPr="00191011">
        <w:rPr>
          <w:rFonts w:cstheme="minorHAnsi"/>
          <w:b/>
          <w:bCs/>
          <w:sz w:val="24"/>
          <w:szCs w:val="24"/>
        </w:rPr>
        <w:t xml:space="preserve"> </w:t>
      </w:r>
    </w:p>
    <w:p w14:paraId="1C7B0720" w14:textId="5BBCC2F7" w:rsidR="00355710" w:rsidRDefault="00355710" w:rsidP="00730346">
      <w:pPr>
        <w:spacing w:after="0" w:line="276" w:lineRule="auto"/>
        <w:jc w:val="both"/>
        <w:rPr>
          <w:rFonts w:cstheme="minorHAnsi"/>
        </w:rPr>
      </w:pPr>
      <w:r w:rsidRPr="00355710">
        <w:rPr>
          <w:rFonts w:cstheme="minorHAnsi"/>
        </w:rPr>
        <w:t>Odpovědné investování je dlouhodobě orientovaný investiční přístup, který spočívá v zohlednění široké perspektivy investičního procesu, který se zaměřuje nejen na ekonomické faktory, ale také na aspekty udržitelnosti a odpovědnosti. Odpovědné investování kombinuje základní investiční analýzu a hodnocení plnění faktorů ekologických, společenských a podnikového řízení (ESG) s cílem dosažení vyšších dlouhodobých výnosů pro investory a zároveň dosažení pozitivního vlivu na odpovědné a udržitelné chování protistran obchodů. Podfond investuje pouze do společností s odpovědnými postupy pro správu a řízení</w:t>
      </w:r>
      <w:r>
        <w:rPr>
          <w:rFonts w:cstheme="minorHAnsi"/>
        </w:rPr>
        <w:t>.</w:t>
      </w:r>
    </w:p>
    <w:p w14:paraId="387026B3" w14:textId="77777777" w:rsidR="00355710" w:rsidRDefault="00355710" w:rsidP="00730346">
      <w:pPr>
        <w:spacing w:after="0" w:line="276" w:lineRule="auto"/>
        <w:jc w:val="both"/>
        <w:rPr>
          <w:rFonts w:cstheme="minorHAnsi"/>
        </w:rPr>
      </w:pPr>
    </w:p>
    <w:p w14:paraId="63BA8A58" w14:textId="35743E1A" w:rsidR="00355710" w:rsidRDefault="00355710" w:rsidP="00730346">
      <w:pPr>
        <w:spacing w:after="0" w:line="276" w:lineRule="auto"/>
        <w:jc w:val="both"/>
        <w:rPr>
          <w:rFonts w:cstheme="minorHAnsi"/>
        </w:rPr>
      </w:pPr>
      <w:r w:rsidRPr="00355710">
        <w:rPr>
          <w:rFonts w:cstheme="minorHAnsi"/>
        </w:rPr>
        <w:t>Podfond investuje do těch společností, které směřují k omezení činností v sektoru těžby uhlí a to tím, že se zaměřují na realizaci projektů, kterými se zvyšuje efektivnost teplárenských zařízení a snižuje se energetické náročnosti budov. Podfond bude investovat společností splňujících tato kritéria.</w:t>
      </w:r>
    </w:p>
    <w:p w14:paraId="764AECC6" w14:textId="77777777" w:rsidR="00355710" w:rsidRPr="00191011" w:rsidRDefault="00355710" w:rsidP="00730346">
      <w:pPr>
        <w:spacing w:after="0" w:line="276" w:lineRule="auto"/>
        <w:jc w:val="both"/>
        <w:rPr>
          <w:rFonts w:cstheme="minorHAnsi"/>
        </w:rPr>
      </w:pPr>
    </w:p>
    <w:p w14:paraId="1F3EE06D" w14:textId="2681EA7C"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Investiční strategie</w:t>
      </w:r>
    </w:p>
    <w:p w14:paraId="3EDF9372" w14:textId="260F8965" w:rsidR="001549FB" w:rsidRDefault="001549FB" w:rsidP="00730346">
      <w:pPr>
        <w:spacing w:after="0" w:line="276" w:lineRule="auto"/>
        <w:jc w:val="both"/>
        <w:rPr>
          <w:rFonts w:cstheme="minorHAnsi"/>
        </w:rPr>
      </w:pPr>
      <w:r w:rsidRPr="001549FB">
        <w:rPr>
          <w:rFonts w:cstheme="minorHAnsi"/>
        </w:rPr>
        <w:t>Podfond prosazuje environmentální vlastnosti, a přestože nesleduje cíl udržitelných investic, bude mít udržitelné investice s environmentálním cílem do hospodářských činností, které se podle taxonomie EU nekvalifikují jako environmentálně udržitelné. Investiční cíl a strategie Podfondu budou sledovány s přihlédnutím k ESG charakteristikám společností, do kterých Podfond investuje v rámci investičního procesu. Výběr aktiv je založen na zvážení finančních i nefinančních kritérií. Podfond prosazuje ESG charakteristiky podle čl. 8 nařízení (EU) 2019/2088.</w:t>
      </w:r>
    </w:p>
    <w:p w14:paraId="3BED95DF" w14:textId="77777777" w:rsidR="001549FB" w:rsidRDefault="001549FB" w:rsidP="00730346">
      <w:pPr>
        <w:spacing w:after="0" w:line="276" w:lineRule="auto"/>
        <w:jc w:val="both"/>
        <w:rPr>
          <w:rFonts w:cstheme="minorHAnsi"/>
        </w:rPr>
      </w:pPr>
    </w:p>
    <w:p w14:paraId="5796D1E6" w14:textId="77777777" w:rsidR="001549FB" w:rsidRPr="001549FB" w:rsidRDefault="001549FB" w:rsidP="001549FB">
      <w:pPr>
        <w:spacing w:after="0" w:line="276" w:lineRule="auto"/>
        <w:jc w:val="both"/>
        <w:rPr>
          <w:rFonts w:cstheme="minorHAnsi"/>
        </w:rPr>
      </w:pPr>
      <w:r w:rsidRPr="001549FB">
        <w:rPr>
          <w:rFonts w:cstheme="minorHAnsi"/>
        </w:rPr>
        <w:t xml:space="preserve">Cílem investiční strategie je dosáhnout dlouhodobé zhodnocení vložených prostředků, především prostřednictvím investic do účastí v kapitálových obchodních společnostech, pohledávek a poskytování zajištěných úvěrů a zápůjček. Prioritou Podfondu je investovat zejména do společností, které svojí činností investují do zvýšení energetické efektivnosti a projektů, kde dochází k úspoře energií, a to s využitím nástrojů usnadňující realizaci takových projektů, jako jsou: </w:t>
      </w:r>
    </w:p>
    <w:p w14:paraId="4FFF52B3"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GES - Garantované energetické služby, </w:t>
      </w:r>
    </w:p>
    <w:p w14:paraId="11147752"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EPC - Energetické služby splácené z úspor, </w:t>
      </w:r>
    </w:p>
    <w:p w14:paraId="5932338B"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PBC - Performance base </w:t>
      </w:r>
      <w:proofErr w:type="spellStart"/>
      <w:r w:rsidRPr="001549FB">
        <w:rPr>
          <w:rFonts w:cstheme="minorHAnsi"/>
        </w:rPr>
        <w:t>contract</w:t>
      </w:r>
      <w:proofErr w:type="spellEnd"/>
      <w:r w:rsidRPr="001549FB">
        <w:rPr>
          <w:rFonts w:cstheme="minorHAnsi"/>
        </w:rPr>
        <w:t xml:space="preserve">, </w:t>
      </w:r>
    </w:p>
    <w:p w14:paraId="75F04285"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EC - Energetický </w:t>
      </w:r>
      <w:proofErr w:type="spellStart"/>
      <w:r w:rsidRPr="001549FB">
        <w:rPr>
          <w:rFonts w:cstheme="minorHAnsi"/>
        </w:rPr>
        <w:t>contracting</w:t>
      </w:r>
      <w:proofErr w:type="spellEnd"/>
      <w:r w:rsidRPr="001549FB">
        <w:rPr>
          <w:rFonts w:cstheme="minorHAnsi"/>
        </w:rPr>
        <w:t xml:space="preserve">, </w:t>
      </w:r>
    </w:p>
    <w:p w14:paraId="1D34DF28"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PPA - </w:t>
      </w:r>
      <w:proofErr w:type="spellStart"/>
      <w:r w:rsidRPr="001549FB">
        <w:rPr>
          <w:rFonts w:cstheme="minorHAnsi"/>
        </w:rPr>
        <w:t>Power</w:t>
      </w:r>
      <w:proofErr w:type="spellEnd"/>
      <w:r w:rsidRPr="001549FB">
        <w:rPr>
          <w:rFonts w:cstheme="minorHAnsi"/>
        </w:rPr>
        <w:t xml:space="preserve"> </w:t>
      </w:r>
      <w:proofErr w:type="spellStart"/>
      <w:r w:rsidRPr="001549FB">
        <w:rPr>
          <w:rFonts w:cstheme="minorHAnsi"/>
        </w:rPr>
        <w:t>purchase</w:t>
      </w:r>
      <w:proofErr w:type="spellEnd"/>
      <w:r w:rsidRPr="001549FB">
        <w:rPr>
          <w:rFonts w:cstheme="minorHAnsi"/>
        </w:rPr>
        <w:t xml:space="preserve"> </w:t>
      </w:r>
      <w:proofErr w:type="spellStart"/>
      <w:r w:rsidRPr="001549FB">
        <w:rPr>
          <w:rFonts w:cstheme="minorHAnsi"/>
        </w:rPr>
        <w:t>agreement</w:t>
      </w:r>
      <w:proofErr w:type="spellEnd"/>
      <w:r w:rsidRPr="001549FB">
        <w:rPr>
          <w:rFonts w:cstheme="minorHAnsi"/>
        </w:rPr>
        <w:t xml:space="preserve">, </w:t>
      </w:r>
    </w:p>
    <w:p w14:paraId="1061B84F"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OZE zařízení na výrobu EE, </w:t>
      </w:r>
    </w:p>
    <w:p w14:paraId="0FE859B6" w14:textId="77777777" w:rsidR="001549FB" w:rsidRPr="001549FB" w:rsidRDefault="001549FB" w:rsidP="001549FB">
      <w:pPr>
        <w:numPr>
          <w:ilvl w:val="0"/>
          <w:numId w:val="9"/>
        </w:numPr>
        <w:spacing w:after="0" w:line="276" w:lineRule="auto"/>
        <w:jc w:val="both"/>
        <w:rPr>
          <w:rFonts w:cstheme="minorHAnsi"/>
        </w:rPr>
      </w:pPr>
      <w:r w:rsidRPr="001549FB">
        <w:rPr>
          <w:rFonts w:cstheme="minorHAnsi"/>
        </w:rPr>
        <w:t xml:space="preserve">• BESS - </w:t>
      </w:r>
      <w:proofErr w:type="spellStart"/>
      <w:r w:rsidRPr="001549FB">
        <w:rPr>
          <w:rFonts w:cstheme="minorHAnsi"/>
        </w:rPr>
        <w:t>Beteriová</w:t>
      </w:r>
      <w:proofErr w:type="spellEnd"/>
      <w:r w:rsidRPr="001549FB">
        <w:rPr>
          <w:rFonts w:cstheme="minorHAnsi"/>
        </w:rPr>
        <w:t xml:space="preserve"> energetická zařízení. </w:t>
      </w:r>
    </w:p>
    <w:p w14:paraId="5FC658A2" w14:textId="77777777" w:rsidR="001549FB" w:rsidRPr="001549FB" w:rsidRDefault="001549FB" w:rsidP="001549FB">
      <w:pPr>
        <w:spacing w:after="0" w:line="276" w:lineRule="auto"/>
        <w:jc w:val="both"/>
        <w:rPr>
          <w:rFonts w:cstheme="minorHAnsi"/>
        </w:rPr>
      </w:pPr>
    </w:p>
    <w:p w14:paraId="4DF1397E" w14:textId="57431D8F" w:rsidR="001549FB" w:rsidRDefault="001549FB" w:rsidP="001549FB">
      <w:pPr>
        <w:spacing w:after="0" w:line="276" w:lineRule="auto"/>
        <w:jc w:val="both"/>
        <w:rPr>
          <w:rFonts w:cstheme="minorHAnsi"/>
        </w:rPr>
      </w:pPr>
      <w:r w:rsidRPr="001549FB">
        <w:rPr>
          <w:rFonts w:cstheme="minorHAnsi"/>
        </w:rPr>
        <w:lastRenderedPageBreak/>
        <w:t>Podfond investuje do těch společností, které směřují k omezení činností v sektoru těžby uhlí a to tím, že se zaměřují na realizaci projektů, kterými se zvyšuje efektivnost teplárenských zařízení a snižuje se energetické náročnosti budov. Podfond bude investovat společností splňujících tato kritéria.</w:t>
      </w:r>
    </w:p>
    <w:p w14:paraId="43C475F3" w14:textId="77777777" w:rsidR="001549FB" w:rsidRDefault="001549FB" w:rsidP="001549FB">
      <w:pPr>
        <w:spacing w:after="0" w:line="276" w:lineRule="auto"/>
        <w:jc w:val="both"/>
        <w:rPr>
          <w:rFonts w:cstheme="minorHAnsi"/>
        </w:rPr>
      </w:pPr>
    </w:p>
    <w:p w14:paraId="255733A9" w14:textId="1E81C80B" w:rsidR="001549FB" w:rsidRDefault="001549FB" w:rsidP="001549FB">
      <w:pPr>
        <w:spacing w:after="0" w:line="276" w:lineRule="auto"/>
        <w:jc w:val="both"/>
        <w:rPr>
          <w:rFonts w:cstheme="minorHAnsi"/>
        </w:rPr>
      </w:pPr>
      <w:r w:rsidRPr="001549FB">
        <w:rPr>
          <w:rFonts w:cstheme="minorHAnsi"/>
        </w:rPr>
        <w:t>Podfond prosazuje zejména enviromentální vlastnosti. Enviromentální vlastnosti jsou prosazovány zejména tím, že minimálně 60 % investic Podfondu bude naplňovat požadavky na tzv. udržitelné investice ve smyslu Nařízení (EU) 2019/2088, které zároveň nejsou v souladu s taxonomií EU.</w:t>
      </w:r>
    </w:p>
    <w:p w14:paraId="71670E06" w14:textId="77777777" w:rsidR="001549FB" w:rsidRDefault="001549FB" w:rsidP="001549FB">
      <w:pPr>
        <w:spacing w:after="0" w:line="276" w:lineRule="auto"/>
        <w:jc w:val="both"/>
        <w:rPr>
          <w:rFonts w:cstheme="minorHAnsi"/>
        </w:rPr>
      </w:pPr>
    </w:p>
    <w:p w14:paraId="15A7F42E" w14:textId="77777777" w:rsidR="001549FB" w:rsidRPr="001549FB" w:rsidRDefault="001549FB" w:rsidP="001549FB">
      <w:pPr>
        <w:spacing w:after="0" w:line="276" w:lineRule="auto"/>
        <w:jc w:val="both"/>
        <w:rPr>
          <w:rFonts w:cstheme="minorHAnsi"/>
        </w:rPr>
      </w:pPr>
      <w:r w:rsidRPr="001549FB">
        <w:rPr>
          <w:rFonts w:cstheme="minorHAnsi"/>
        </w:rPr>
        <w:t xml:space="preserve">Za udržitelné investice jsou v rámci Podfondu považovány investice do společností a projektů, které investují do zvýšení energetické efektivnosti a úspoře energií. Tyto investice mohou mít podobu zejména investic do účastí v kapitálových obchodních společnostech, pohledávek a poskytování zajištěných úvěrů a zápůjček. Podrobnější informace o vlastnostech udržitelných investic v Podfondu jsou uvedeny níže v sekci “Jaké jsou cíle udržitelných investic, které má finanční produkt částečně provádět, a jak dané udržitelné investice k těmto cílům přispívají?” </w:t>
      </w:r>
    </w:p>
    <w:p w14:paraId="24357FA4" w14:textId="64073B5F" w:rsidR="001549FB" w:rsidRPr="001549FB" w:rsidRDefault="001549FB" w:rsidP="001549FB">
      <w:pPr>
        <w:spacing w:after="0" w:line="276" w:lineRule="auto"/>
        <w:jc w:val="both"/>
        <w:rPr>
          <w:rFonts w:cstheme="minorHAnsi"/>
        </w:rPr>
      </w:pPr>
      <w:r w:rsidRPr="001549FB">
        <w:rPr>
          <w:rFonts w:cstheme="minorHAnsi"/>
        </w:rPr>
        <w:t>Minimálně 80 % investic Podfond bude prosazovat enviromentální a sociální vlastnosti tím, že u takových investic budou zohledňovány vybrané hlavní nepříznivé dopady na faktory udržitelnosti. Konkrétně Podfond bude uplatňovat vylučovací strategii, která vyloučí investice s expozicí vůči společnostem působícím v odvětví neobnovitelných zdrojů energie (např. jaderné energie), fosilních paliv (včetně výroby energie z ropy, plynu a energetického uhlí) a investic do zbraní (chemické a biologické zbraně, kazetové munice, protipěchotních min, jaderných zbraní, civilních střelných zbraní a konvenčních zbraní). U investic prosazující enviromentální a sociální vlastnosti</w:t>
      </w:r>
      <w:r>
        <w:rPr>
          <w:rFonts w:cstheme="minorHAnsi"/>
        </w:rPr>
        <w:t xml:space="preserve"> </w:t>
      </w:r>
      <w:r w:rsidRPr="001549FB">
        <w:rPr>
          <w:rFonts w:cstheme="minorHAnsi"/>
        </w:rPr>
        <w:t xml:space="preserve">bude rovněž posuzováno, zda společnosti, do kterých je investováno dodržují postupy řádné správy a řízení. </w:t>
      </w:r>
    </w:p>
    <w:p w14:paraId="7FE559C6" w14:textId="336E70B9" w:rsidR="001549FB" w:rsidRDefault="001549FB" w:rsidP="001549FB">
      <w:pPr>
        <w:spacing w:after="0" w:line="276" w:lineRule="auto"/>
        <w:jc w:val="both"/>
        <w:rPr>
          <w:rFonts w:cstheme="minorHAnsi"/>
        </w:rPr>
      </w:pPr>
      <w:r w:rsidRPr="001549FB">
        <w:rPr>
          <w:rFonts w:cstheme="minorHAnsi"/>
        </w:rPr>
        <w:t xml:space="preserve">Investice ve formě účastí v kapitálových obchodních společnostech, jimiž jsou prosazovány enviromentální a sociální vlastnosti, jsou činěny pouze ve vztahu ke společnostem, které disponují uznávanými certifikáty třetích stran osvědčujícími dodržování řádných postupů ve vztahu k principům ESG (environment, </w:t>
      </w:r>
      <w:proofErr w:type="spellStart"/>
      <w:r w:rsidRPr="001549FB">
        <w:rPr>
          <w:rFonts w:cstheme="minorHAnsi"/>
        </w:rPr>
        <w:t>social</w:t>
      </w:r>
      <w:proofErr w:type="spellEnd"/>
      <w:r w:rsidRPr="001549FB">
        <w:rPr>
          <w:rFonts w:cstheme="minorHAnsi"/>
        </w:rPr>
        <w:t xml:space="preserve">, governance) – v současnosti zejména certifikát </w:t>
      </w:r>
      <w:proofErr w:type="spellStart"/>
      <w:r w:rsidRPr="001549FB">
        <w:rPr>
          <w:rFonts w:cstheme="minorHAnsi"/>
        </w:rPr>
        <w:t>EcoVadis</w:t>
      </w:r>
      <w:proofErr w:type="spellEnd"/>
      <w:r w:rsidRPr="001549FB">
        <w:rPr>
          <w:rFonts w:cstheme="minorHAnsi"/>
        </w:rPr>
        <w:t>, a to alespoň ve formě “bronzové medaile” (podrobnosti certifikátu lze nalézt na https://ecovadis.com/). Tímto je zajištěno, že tyto společnosti významně nepoškozují jiné environmentální nebo sociální cíle a dodržují postupy řádné správy a řízení.</w:t>
      </w:r>
    </w:p>
    <w:p w14:paraId="79B18ECB" w14:textId="77777777" w:rsidR="007D0197" w:rsidRDefault="007D0197" w:rsidP="001549FB">
      <w:pPr>
        <w:spacing w:after="0" w:line="276" w:lineRule="auto"/>
        <w:jc w:val="both"/>
        <w:rPr>
          <w:rFonts w:cstheme="minorHAnsi"/>
        </w:rPr>
      </w:pPr>
    </w:p>
    <w:p w14:paraId="3925164B" w14:textId="208444FC" w:rsidR="007D0197" w:rsidRDefault="007D0197" w:rsidP="001549FB">
      <w:pPr>
        <w:spacing w:after="0" w:line="276" w:lineRule="auto"/>
        <w:jc w:val="both"/>
        <w:rPr>
          <w:rFonts w:cstheme="minorHAnsi"/>
        </w:rPr>
      </w:pPr>
      <w:r w:rsidRPr="007D0197">
        <w:rPr>
          <w:rFonts w:cstheme="minorHAnsi"/>
        </w:rPr>
        <w:t>Informace k posuzování ESG profilu emitentů podkladových aktiv Podfondu pocházejí z externích zdrojů dat. Společnost získává informace s maximálním úsilím tak, aby s přihlédnutím k existujícím omezením nedošlo ke zkreslení veřejně prezentovaných údajů.</w:t>
      </w:r>
    </w:p>
    <w:p w14:paraId="58E8306F" w14:textId="77777777" w:rsidR="007D0197" w:rsidRDefault="007D0197" w:rsidP="001549FB">
      <w:pPr>
        <w:spacing w:after="0" w:line="276" w:lineRule="auto"/>
        <w:jc w:val="both"/>
        <w:rPr>
          <w:rFonts w:cstheme="minorHAnsi"/>
        </w:rPr>
      </w:pPr>
    </w:p>
    <w:p w14:paraId="1EBF54B0" w14:textId="754EC8C4" w:rsidR="007D0197" w:rsidRDefault="007D0197" w:rsidP="001549FB">
      <w:pPr>
        <w:spacing w:after="0" w:line="276" w:lineRule="auto"/>
        <w:jc w:val="both"/>
        <w:rPr>
          <w:rFonts w:cstheme="minorHAnsi"/>
        </w:rPr>
      </w:pPr>
      <w:r w:rsidRPr="007D0197">
        <w:rPr>
          <w:rFonts w:cstheme="minorHAnsi"/>
        </w:rPr>
        <w:t>Podfond nesleduje žádný referenční ukazatel (dále též benchmark) určený pro účely dosažení environmentálních nebo sociálních vlastností.</w:t>
      </w:r>
    </w:p>
    <w:p w14:paraId="0D9F8333" w14:textId="77777777" w:rsidR="004A4E32" w:rsidRPr="00191011" w:rsidRDefault="004A4E32" w:rsidP="00730346">
      <w:pPr>
        <w:spacing w:after="0" w:line="276" w:lineRule="auto"/>
        <w:jc w:val="both"/>
        <w:rPr>
          <w:rFonts w:cstheme="minorHAnsi"/>
        </w:rPr>
      </w:pPr>
    </w:p>
    <w:p w14:paraId="3D7E9EE7" w14:textId="713F99C9" w:rsidR="00250656" w:rsidRPr="00191011" w:rsidRDefault="00250656" w:rsidP="00730346">
      <w:pPr>
        <w:spacing w:after="0" w:line="276" w:lineRule="auto"/>
        <w:jc w:val="both"/>
        <w:rPr>
          <w:rFonts w:cstheme="minorHAnsi"/>
        </w:rPr>
      </w:pPr>
      <w:r w:rsidRPr="00191011">
        <w:rPr>
          <w:rFonts w:cstheme="minorHAnsi"/>
        </w:rPr>
        <w:t xml:space="preserve">Podrobnosti týkající se investiční strategie Podfondu a jejího naplňování jsou uvedeny ve statutu Fondu a Podfondu, který je investorům zpřístupněn prostřednictvím zabezpečeného přístupu z internetových stránek </w:t>
      </w:r>
      <w:hyperlink r:id="rId8" w:history="1">
        <w:r w:rsidRPr="00191011">
          <w:rPr>
            <w:rStyle w:val="Hypertextovodkaz"/>
            <w:rFonts w:cstheme="minorHAnsi"/>
          </w:rPr>
          <w:t>www.codyainvest.cz</w:t>
        </w:r>
      </w:hyperlink>
      <w:r w:rsidRPr="00191011">
        <w:rPr>
          <w:rFonts w:cstheme="minorHAnsi"/>
        </w:rPr>
        <w:t xml:space="preserve">, potenciálnímu investorovi bude statut Fondu a Podfondu zpřístupněn na žádost.   </w:t>
      </w:r>
    </w:p>
    <w:p w14:paraId="4A347849" w14:textId="2F39C80D"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Podíl investic</w:t>
      </w:r>
    </w:p>
    <w:p w14:paraId="3D8D6180" w14:textId="2D28BEC0" w:rsidR="009170AB" w:rsidRPr="00191011" w:rsidRDefault="009170AB" w:rsidP="00730346">
      <w:pPr>
        <w:spacing w:after="0" w:line="276" w:lineRule="auto"/>
        <w:jc w:val="both"/>
        <w:rPr>
          <w:rFonts w:cstheme="minorHAnsi"/>
        </w:rPr>
      </w:pPr>
      <w:r w:rsidRPr="009170AB">
        <w:rPr>
          <w:rFonts w:cstheme="minorHAnsi"/>
        </w:rPr>
        <w:t xml:space="preserve">Podfond prosazuje environmentální vlastnosti, a přestože nesleduje cíl udržitelných investic, bude mít udržitelné investice s environmentálním cílem do hospodářských činností, které se podle taxonomie </w:t>
      </w:r>
      <w:r w:rsidRPr="009170AB">
        <w:rPr>
          <w:rFonts w:cstheme="minorHAnsi"/>
        </w:rPr>
        <w:lastRenderedPageBreak/>
        <w:t>EU nekvalifikují jako environmentálně udržitelné, investice směřují primárně do společností, které jsou v souladu s environmentální charakteristikou tohoto finančního produktu. Alespoň 80 % investic Podfondu bude v souladu se závaznými prvky investiční strategie Podfondu splňovat Podfondem prosazované environmentální nebo sociální vlastnosti. Kromě toho se Podfond zavazuje mít minimálně 60 % investic s environmentálním cílem do hospodářských činností, které se podle taxonomie EU nekvalifikují jako environmentálně udržitelné</w:t>
      </w:r>
      <w:r>
        <w:rPr>
          <w:rFonts w:cstheme="minorHAnsi"/>
        </w:rPr>
        <w:t>.</w:t>
      </w:r>
    </w:p>
    <w:p w14:paraId="5BA489AD" w14:textId="089E689E" w:rsidR="00215ED4" w:rsidRPr="00191011" w:rsidRDefault="00215ED4" w:rsidP="00730346">
      <w:pPr>
        <w:spacing w:after="0" w:line="276" w:lineRule="auto"/>
        <w:jc w:val="both"/>
        <w:rPr>
          <w:rFonts w:cstheme="minorHAnsi"/>
        </w:rPr>
      </w:pPr>
      <w:r w:rsidRPr="00191011">
        <w:rPr>
          <w:rFonts w:cstheme="minorHAnsi"/>
        </w:rPr>
        <w:t>Fond využívá tzv. negativní seznam za účelem omezení investic do společností vykazujících vyšší environmentální rizika (např. emitenti podílejí</w:t>
      </w:r>
      <w:r w:rsidR="00250656" w:rsidRPr="00191011">
        <w:rPr>
          <w:rFonts w:cstheme="minorHAnsi"/>
        </w:rPr>
        <w:t>cí</w:t>
      </w:r>
      <w:r w:rsidRPr="00191011">
        <w:rPr>
          <w:rFonts w:cstheme="minorHAnsi"/>
        </w:rPr>
        <w:t xml:space="preserve"> se na výrobě alkoholu, tabákových výrobků </w:t>
      </w:r>
      <w:r w:rsidR="00191011">
        <w:rPr>
          <w:rFonts w:cstheme="minorHAnsi"/>
        </w:rPr>
        <w:br/>
      </w:r>
      <w:r w:rsidRPr="00191011">
        <w:rPr>
          <w:rFonts w:cstheme="minorHAnsi"/>
        </w:rPr>
        <w:t>a kontroverzních vojenských zbraní sestávajících z kazetových zbraní, protipěchotních min, jaderných zbraní a biologických a chemických zbraní a provozování uhelných dolů a hazardních heren a dalších</w:t>
      </w:r>
      <w:r w:rsidR="00250656" w:rsidRPr="00191011">
        <w:rPr>
          <w:rFonts w:cstheme="minorHAnsi"/>
        </w:rPr>
        <w:t>)</w:t>
      </w:r>
      <w:r w:rsidRPr="00191011">
        <w:rPr>
          <w:rFonts w:cstheme="minorHAnsi"/>
        </w:rPr>
        <w:t>.</w:t>
      </w:r>
    </w:p>
    <w:p w14:paraId="59F75552" w14:textId="54C31716"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Monitorování environmentálních nebo sociálních vlastností</w:t>
      </w:r>
    </w:p>
    <w:p w14:paraId="6668A409" w14:textId="0CC86CE0" w:rsidR="00215ED4" w:rsidRPr="00191011" w:rsidRDefault="00215ED4" w:rsidP="00730346">
      <w:pPr>
        <w:spacing w:after="0" w:line="276" w:lineRule="auto"/>
        <w:jc w:val="both"/>
        <w:rPr>
          <w:rFonts w:cstheme="minorHAnsi"/>
        </w:rPr>
      </w:pPr>
      <w:r w:rsidRPr="00191011">
        <w:rPr>
          <w:rFonts w:cstheme="minorHAnsi"/>
        </w:rPr>
        <w:t>Při řízení ESG rizik jsou využívány kvantitativní i kvalitativní metody identifikace, monitoringu a řízení ESG rizik z hlediska jejich významnosti. Více informací naleznete v</w:t>
      </w:r>
      <w:r w:rsidR="00AD0864" w:rsidRPr="00191011">
        <w:rPr>
          <w:rFonts w:cstheme="minorHAnsi"/>
        </w:rPr>
        <w:t>e statutu Podfondu.</w:t>
      </w:r>
    </w:p>
    <w:p w14:paraId="68B9C46D" w14:textId="64FA5BEA" w:rsidR="00215ED4" w:rsidRPr="00191011" w:rsidRDefault="004161D8" w:rsidP="00730346">
      <w:pPr>
        <w:spacing w:after="0" w:line="276" w:lineRule="auto"/>
        <w:jc w:val="both"/>
        <w:rPr>
          <w:rFonts w:cstheme="minorHAnsi"/>
        </w:rPr>
      </w:pPr>
      <w:r w:rsidRPr="00191011">
        <w:rPr>
          <w:rFonts w:cstheme="minorHAnsi"/>
        </w:rPr>
        <w:t xml:space="preserve">Společnost </w:t>
      </w:r>
      <w:r w:rsidR="00C85408" w:rsidRPr="00191011">
        <w:rPr>
          <w:rFonts w:cstheme="minorHAnsi"/>
        </w:rPr>
        <w:t xml:space="preserve">průběžně </w:t>
      </w:r>
      <w:r w:rsidRPr="00191011">
        <w:rPr>
          <w:rFonts w:cstheme="minorHAnsi"/>
        </w:rPr>
        <w:t>využívá komplexní systém hodnocení ESG poskytovaný třetími stranami a interní zdroje informací.</w:t>
      </w:r>
    </w:p>
    <w:p w14:paraId="6E80591D" w14:textId="40201ED6" w:rsidR="00AD0864" w:rsidRDefault="00AD0864" w:rsidP="00730346">
      <w:pPr>
        <w:spacing w:after="0" w:line="276" w:lineRule="auto"/>
        <w:jc w:val="both"/>
        <w:rPr>
          <w:rFonts w:cstheme="minorHAnsi"/>
        </w:rPr>
      </w:pPr>
      <w:r w:rsidRPr="00191011">
        <w:rPr>
          <w:rFonts w:cstheme="minorHAnsi"/>
        </w:rPr>
        <w:t xml:space="preserve">Společnost využívá tzv. negativní seznam za účelem omezení investic do společností vykazujících vyšší environmentální rizika (např. emitenti podílející se na výrobě alkoholu, tabákových výrobků </w:t>
      </w:r>
      <w:r w:rsidR="00191011">
        <w:rPr>
          <w:rFonts w:cstheme="minorHAnsi"/>
        </w:rPr>
        <w:br/>
      </w:r>
      <w:r w:rsidRPr="00191011">
        <w:rPr>
          <w:rFonts w:cstheme="minorHAnsi"/>
        </w:rPr>
        <w:t>a kontroverzních vojenských zbraní sestávajících z kazetových zbraní, protipěchotních min, jaderných zbraní a biologických a chemických zbraní a provozování uhelných dolů a hazardních heren a dalších).</w:t>
      </w:r>
    </w:p>
    <w:p w14:paraId="357AD41D" w14:textId="273E7217" w:rsidR="00004493" w:rsidRPr="00191011" w:rsidRDefault="00004493" w:rsidP="00730346">
      <w:pPr>
        <w:spacing w:after="0" w:line="276" w:lineRule="auto"/>
        <w:jc w:val="both"/>
        <w:rPr>
          <w:rFonts w:cstheme="minorHAnsi"/>
        </w:rPr>
      </w:pPr>
      <w:r w:rsidRPr="00004493">
        <w:rPr>
          <w:rFonts w:cstheme="minorHAnsi"/>
        </w:rPr>
        <w:t>Při rozhodování o investicích jsou upřednostňovány ty společnosti, které mají nižší riziko nepříznivého dopadu v oblasti environmentálních a sociálních cílů produktu a vytvářejí pozitivní environmentální a/nebo sociální efekty svým příkladným řízením těchto rizik.</w:t>
      </w:r>
    </w:p>
    <w:p w14:paraId="602C41B9" w14:textId="77777777" w:rsidR="00335E82" w:rsidRPr="00191011" w:rsidRDefault="003432D9" w:rsidP="00191011">
      <w:pPr>
        <w:pStyle w:val="Odstavecseseznamem"/>
        <w:numPr>
          <w:ilvl w:val="0"/>
          <w:numId w:val="2"/>
        </w:numPr>
        <w:spacing w:before="120" w:after="120" w:line="276" w:lineRule="auto"/>
        <w:ind w:left="714" w:hanging="357"/>
        <w:jc w:val="both"/>
        <w:rPr>
          <w:rFonts w:cstheme="minorHAnsi"/>
          <w:sz w:val="24"/>
          <w:szCs w:val="24"/>
        </w:rPr>
      </w:pPr>
      <w:r w:rsidRPr="00191011">
        <w:rPr>
          <w:rFonts w:cstheme="minorHAnsi"/>
          <w:b/>
          <w:bCs/>
          <w:sz w:val="24"/>
          <w:szCs w:val="24"/>
        </w:rPr>
        <w:t>Metodologie</w:t>
      </w:r>
    </w:p>
    <w:p w14:paraId="711B043E" w14:textId="2B4BBC61" w:rsidR="00211057" w:rsidRPr="00191011" w:rsidRDefault="00AD0864" w:rsidP="00335E82">
      <w:pPr>
        <w:spacing w:before="120" w:after="0" w:line="276" w:lineRule="auto"/>
        <w:jc w:val="both"/>
        <w:rPr>
          <w:rFonts w:cstheme="minorHAnsi"/>
        </w:rPr>
      </w:pPr>
      <w:r w:rsidRPr="00191011">
        <w:rPr>
          <w:rFonts w:cstheme="minorHAnsi"/>
        </w:rPr>
        <w:t xml:space="preserve">Kromě vyloučení investic na základě kritérií ESG, zavedla Společnost analýzu ESG do svého investičního procesu tím, že se zaměřuje na společnosti s udržitelným podnikáním a vyhodnocuje rizika související s ESG. V případě účastí na nemovitostních a obchodních společnostech Společnost posuzuje udržitelný obchodní model založený na trvalé konkurenční a finanční pozici, od které se očekává, že bude i nadále vytvářet a nabízet produkty a služby prostřednictvím etického a zdravého podnikání, postupů </w:t>
      </w:r>
      <w:r w:rsidR="00191011">
        <w:rPr>
          <w:rFonts w:cstheme="minorHAnsi"/>
        </w:rPr>
        <w:br/>
      </w:r>
      <w:r w:rsidRPr="00191011">
        <w:rPr>
          <w:rFonts w:cstheme="minorHAnsi"/>
        </w:rPr>
        <w:t xml:space="preserve">a odpovědného využívání zdrojů. Za tímto účelem využívá parametry certifikace BREEAM in use pro vyhodnocování enviromentálních a/nebo sociálních aspektů, přičemž za vhodná aktiva považuje stupeň hodnocení GOOD a vyšší. </w:t>
      </w:r>
      <w:r w:rsidR="00211057" w:rsidRPr="00191011">
        <w:rPr>
          <w:rFonts w:cstheme="minorHAnsi"/>
        </w:rPr>
        <w:t>Společnost rovněž využívá komplexní systém hodnocení ESG poskytovaný třetími stranami a interní zdroje informací.</w:t>
      </w:r>
    </w:p>
    <w:p w14:paraId="7311EC57" w14:textId="77777777" w:rsidR="00211057" w:rsidRPr="00191011" w:rsidRDefault="00211057" w:rsidP="00730346">
      <w:pPr>
        <w:spacing w:after="0" w:line="276" w:lineRule="auto"/>
        <w:jc w:val="both"/>
        <w:rPr>
          <w:rFonts w:cstheme="minorHAnsi"/>
        </w:rPr>
      </w:pPr>
      <w:r w:rsidRPr="00191011">
        <w:rPr>
          <w:rFonts w:cstheme="minorHAnsi"/>
        </w:rPr>
        <w:t>Identifikace, vyhodnocování a přijímání relevantních opatření týkajících se aktiv, kteří vykazují vysokou expozici vůči riziku udržitelnosti závisí na relevanci, dostupnosti informací a časovém horizontu udržitelnosti.</w:t>
      </w:r>
    </w:p>
    <w:p w14:paraId="78F57724" w14:textId="5E8109D2" w:rsidR="004161D8" w:rsidRPr="00191011" w:rsidRDefault="00211057" w:rsidP="00730346">
      <w:pPr>
        <w:spacing w:after="0" w:line="276" w:lineRule="auto"/>
        <w:jc w:val="both"/>
        <w:rPr>
          <w:rFonts w:cstheme="minorHAnsi"/>
        </w:rPr>
      </w:pPr>
      <w:r w:rsidRPr="00191011">
        <w:rPr>
          <w:rFonts w:cstheme="minorHAnsi"/>
        </w:rPr>
        <w:t>Rizika udržitelnosti jsou zvažována při investičním rozhodování společně s tradičními investičními riziky (např. například tržní, úvěrové riziko nebo riziko likvidity). Rizika udržitelnosti mohou mít významný dopad na tradiční investiční rizika a být faktorem, který přispívá k jejich významnosti.</w:t>
      </w:r>
    </w:p>
    <w:p w14:paraId="5776BA22" w14:textId="7C03C99E"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Zdroje údajů a jejich zpracování</w:t>
      </w:r>
    </w:p>
    <w:p w14:paraId="7D52BCE5" w14:textId="77777777" w:rsidR="00AD0864" w:rsidRPr="00191011" w:rsidRDefault="00AD0864" w:rsidP="00AD0864">
      <w:pPr>
        <w:spacing w:after="0" w:line="276" w:lineRule="auto"/>
        <w:jc w:val="both"/>
        <w:rPr>
          <w:rFonts w:cstheme="minorHAnsi"/>
        </w:rPr>
      </w:pPr>
      <w:r w:rsidRPr="00191011">
        <w:rPr>
          <w:rFonts w:cstheme="minorHAnsi"/>
        </w:rPr>
        <w:t xml:space="preserve">Společnost využívá komplexní systém hodnocení ESG poskytovaný třetími stranami (certifikace BREEAM in use) a interní zdroje informací. Společnost využívá tzv. negativní seznam za účelem omezení investic do společností vykazujících vyšší environmentální rizika (např. emitenti podílející se na výrobě </w:t>
      </w:r>
      <w:r w:rsidRPr="00191011">
        <w:rPr>
          <w:rFonts w:cstheme="minorHAnsi"/>
        </w:rPr>
        <w:lastRenderedPageBreak/>
        <w:t>alkoholu, tabákových výrobků a kontroverzních vojenských zbraní sestávajících z kazetových zbraní, protipěchotních min, jaderných zbraní a biologických a chemických zbraní a provozování uhelných dolů a hazardních heren a dalších).</w:t>
      </w:r>
    </w:p>
    <w:p w14:paraId="5DF1E349" w14:textId="6123F9DA" w:rsidR="004161D8" w:rsidRPr="00191011" w:rsidRDefault="00AD0864" w:rsidP="00730346">
      <w:pPr>
        <w:spacing w:after="0" w:line="276" w:lineRule="auto"/>
        <w:jc w:val="both"/>
        <w:rPr>
          <w:rFonts w:cstheme="minorHAnsi"/>
        </w:rPr>
      </w:pPr>
      <w:r w:rsidRPr="00191011">
        <w:rPr>
          <w:rFonts w:cstheme="minorHAnsi"/>
        </w:rPr>
        <w:t xml:space="preserve">Společnost zpracovává </w:t>
      </w:r>
      <w:r w:rsidR="001A021B" w:rsidRPr="00191011">
        <w:rPr>
          <w:rFonts w:cstheme="minorHAnsi"/>
        </w:rPr>
        <w:t>údaje za účelem monitorování aktuálních a potenciálních investičních příležitostí v majetku Podfondu. Využití údajů, které jsou odhadovány, se Společnost snaží omezit, avšak s ohledem na nedostatečné pokrytí externími zdroji údajů je jejich podíl značný.</w:t>
      </w:r>
    </w:p>
    <w:p w14:paraId="00CF841F" w14:textId="071302CF"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Omezení metodologií a údajů</w:t>
      </w:r>
    </w:p>
    <w:p w14:paraId="3C7892F8" w14:textId="1A2BD9C5" w:rsidR="00607C07" w:rsidRPr="00191011" w:rsidRDefault="000E4683" w:rsidP="00730346">
      <w:pPr>
        <w:spacing w:after="0" w:line="276" w:lineRule="auto"/>
        <w:jc w:val="both"/>
        <w:rPr>
          <w:rFonts w:cstheme="minorHAnsi"/>
        </w:rPr>
      </w:pPr>
      <w:r w:rsidRPr="00191011">
        <w:rPr>
          <w:rFonts w:cstheme="minorHAnsi"/>
        </w:rPr>
        <w:t>Environmentální vlastnosti jsou prosazovány na základě údajů získaných Společností s maximálním úsilím a s přihlédnutím k jejich dostupnosti. Sledované ESG charakteristiky jsou specifické, jejich relevance se v různých odvětvích liší a nelze se vyhnout určitým omezením, neboť někteří emitenti nevykazují spolehlivá data pro posouzení, nebo tato data nejsou dostatečně pokrytá externími poskytovateli údajů. Závazky společností týkající se např. budoucích redukcí emisí Společnost považuje za důvěryhodné, jsou-li verifikovatelné a/nebo podporované uznávanými veřejnými platformami či poskytovateli dat.</w:t>
      </w:r>
    </w:p>
    <w:p w14:paraId="3F38C172" w14:textId="21035F58" w:rsidR="00607C07"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Náležitá péče</w:t>
      </w:r>
    </w:p>
    <w:p w14:paraId="6CF64818" w14:textId="513D5E16" w:rsidR="00607C07" w:rsidRPr="00191011" w:rsidRDefault="00607C07" w:rsidP="00730346">
      <w:pPr>
        <w:spacing w:after="0" w:line="276" w:lineRule="auto"/>
        <w:jc w:val="both"/>
        <w:rPr>
          <w:rFonts w:cstheme="minorHAnsi"/>
        </w:rPr>
      </w:pPr>
      <w:r w:rsidRPr="00191011">
        <w:rPr>
          <w:rFonts w:cstheme="minorHAnsi"/>
        </w:rPr>
        <w:t>Společnost má vytvořen vnitřní kontrolní systém, který monitoruje dodržování všech limitů stanovených statutem. Obdobně monitoruje dodržování limitů i depozitář Podfondu.</w:t>
      </w:r>
    </w:p>
    <w:p w14:paraId="73CB08FC" w14:textId="196D70F0" w:rsidR="000E4683" w:rsidRPr="00191011" w:rsidRDefault="000E4683" w:rsidP="00730346">
      <w:pPr>
        <w:spacing w:after="0" w:line="276" w:lineRule="auto"/>
        <w:jc w:val="both"/>
        <w:rPr>
          <w:rFonts w:cstheme="minorHAnsi"/>
        </w:rPr>
      </w:pPr>
      <w:r w:rsidRPr="00191011">
        <w:rPr>
          <w:rFonts w:cstheme="minorHAnsi"/>
        </w:rPr>
        <w:t>Pravidla správy a způsob alokace podkladových aktiv jsou blíže popsány ve statutu Fondu.</w:t>
      </w:r>
    </w:p>
    <w:p w14:paraId="565BE6AB" w14:textId="3CEAE469" w:rsidR="003432D9"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Politiky zapojení</w:t>
      </w:r>
    </w:p>
    <w:p w14:paraId="6C4EF6DD" w14:textId="35BA9A47" w:rsidR="000E4683" w:rsidRPr="00191011" w:rsidRDefault="00D53300" w:rsidP="00D53300">
      <w:pPr>
        <w:spacing w:after="0"/>
        <w:jc w:val="both"/>
        <w:rPr>
          <w:rFonts w:cstheme="minorHAnsi"/>
        </w:rPr>
      </w:pPr>
      <w:r w:rsidRPr="00191011">
        <w:rPr>
          <w:rFonts w:cstheme="minorHAnsi"/>
        </w:rPr>
        <w:t>Společnost zapojuje společnosti, do kterých Podfond investoval, ať se jedná o obchodní podíl, zápůjčku či jiné druhy aktiv. Míra zapojení je primárně volena podle úrovně expozice vůči environmentálním, sociálním a správním rizikům, kterým společnosti čelí</w:t>
      </w:r>
      <w:r w:rsidR="000E4683" w:rsidRPr="00191011">
        <w:rPr>
          <w:rFonts w:cstheme="minorHAnsi"/>
        </w:rPr>
        <w:t>.</w:t>
      </w:r>
    </w:p>
    <w:p w14:paraId="7D843899" w14:textId="7AC8683F" w:rsidR="00AD6594" w:rsidRPr="00191011" w:rsidRDefault="003432D9" w:rsidP="00191011">
      <w:pPr>
        <w:pStyle w:val="Odstavecseseznamem"/>
        <w:numPr>
          <w:ilvl w:val="0"/>
          <w:numId w:val="2"/>
        </w:numPr>
        <w:spacing w:before="120" w:after="120" w:line="276" w:lineRule="auto"/>
        <w:ind w:left="714" w:hanging="357"/>
        <w:jc w:val="both"/>
        <w:rPr>
          <w:rFonts w:cstheme="minorHAnsi"/>
          <w:b/>
          <w:bCs/>
          <w:sz w:val="24"/>
          <w:szCs w:val="24"/>
        </w:rPr>
      </w:pPr>
      <w:r w:rsidRPr="00191011">
        <w:rPr>
          <w:rFonts w:cstheme="minorHAnsi"/>
          <w:b/>
          <w:bCs/>
          <w:sz w:val="24"/>
          <w:szCs w:val="24"/>
        </w:rPr>
        <w:t>Určená referenční hodnota</w:t>
      </w:r>
    </w:p>
    <w:p w14:paraId="1A23EE85" w14:textId="43D9650F" w:rsidR="000E4683" w:rsidRPr="00191011" w:rsidRDefault="00040EDA" w:rsidP="00730346">
      <w:pPr>
        <w:spacing w:after="0" w:line="276" w:lineRule="auto"/>
        <w:jc w:val="both"/>
        <w:rPr>
          <w:rFonts w:cstheme="minorHAnsi"/>
          <w:sz w:val="20"/>
          <w:szCs w:val="20"/>
        </w:rPr>
      </w:pPr>
      <w:r w:rsidRPr="00191011">
        <w:rPr>
          <w:rFonts w:cstheme="minorHAnsi"/>
        </w:rPr>
        <w:t xml:space="preserve">Fond nesleduje nejlepší přístup k integraci ESG faktorů (tzv. </w:t>
      </w:r>
      <w:proofErr w:type="spellStart"/>
      <w:r w:rsidRPr="00191011">
        <w:rPr>
          <w:rFonts w:cstheme="minorHAnsi"/>
        </w:rPr>
        <w:t>best</w:t>
      </w:r>
      <w:proofErr w:type="spellEnd"/>
      <w:r w:rsidRPr="00191011">
        <w:rPr>
          <w:rFonts w:cstheme="minorHAnsi"/>
        </w:rPr>
        <w:t>-in-</w:t>
      </w:r>
      <w:proofErr w:type="spellStart"/>
      <w:r w:rsidRPr="00191011">
        <w:rPr>
          <w:rFonts w:cstheme="minorHAnsi"/>
        </w:rPr>
        <w:t>class</w:t>
      </w:r>
      <w:proofErr w:type="spellEnd"/>
      <w:r w:rsidRPr="00191011">
        <w:rPr>
          <w:rFonts w:cstheme="minorHAnsi"/>
        </w:rPr>
        <w:t>) a zároveň nesleduje žádný referenční benchmark určený pro účely dosažení environmentálních nebo sociálních charakteristik.</w:t>
      </w:r>
    </w:p>
    <w:sectPr w:rsidR="000E4683" w:rsidRPr="00191011" w:rsidSect="0019101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4FD49" w14:textId="77777777" w:rsidR="00081B82" w:rsidRDefault="00081B82" w:rsidP="00F04478">
      <w:pPr>
        <w:spacing w:after="0" w:line="240" w:lineRule="auto"/>
      </w:pPr>
      <w:r>
        <w:separator/>
      </w:r>
    </w:p>
  </w:endnote>
  <w:endnote w:type="continuationSeparator" w:id="0">
    <w:p w14:paraId="7A191403" w14:textId="77777777" w:rsidR="00081B82" w:rsidRDefault="00081B82" w:rsidP="00F0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023372"/>
      <w:docPartObj>
        <w:docPartGallery w:val="Page Numbers (Bottom of Page)"/>
        <w:docPartUnique/>
      </w:docPartObj>
    </w:sdtPr>
    <w:sdtEndPr/>
    <w:sdtContent>
      <w:p w14:paraId="5780C364" w14:textId="7664D01A" w:rsidR="00191011" w:rsidRDefault="00191011">
        <w:pPr>
          <w:pStyle w:val="Zpat"/>
          <w:jc w:val="center"/>
        </w:pPr>
        <w:r>
          <w:fldChar w:fldCharType="begin"/>
        </w:r>
        <w:r>
          <w:instrText>PAGE   \* MERGEFORMAT</w:instrText>
        </w:r>
        <w:r>
          <w:fldChar w:fldCharType="separate"/>
        </w:r>
        <w:r>
          <w:t>2</w:t>
        </w:r>
        <w:r>
          <w:fldChar w:fldCharType="end"/>
        </w:r>
      </w:p>
    </w:sdtContent>
  </w:sdt>
  <w:p w14:paraId="4256AB3F" w14:textId="77777777" w:rsidR="00191011" w:rsidRDefault="001910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A91AD" w14:textId="77777777" w:rsidR="00081B82" w:rsidRDefault="00081B82" w:rsidP="00F04478">
      <w:pPr>
        <w:spacing w:after="0" w:line="240" w:lineRule="auto"/>
      </w:pPr>
      <w:r>
        <w:separator/>
      </w:r>
    </w:p>
  </w:footnote>
  <w:footnote w:type="continuationSeparator" w:id="0">
    <w:p w14:paraId="35F7BA7A" w14:textId="77777777" w:rsidR="00081B82" w:rsidRDefault="00081B82" w:rsidP="00F04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4A05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4B3E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2074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4E60CA"/>
    <w:multiLevelType w:val="hybridMultilevel"/>
    <w:tmpl w:val="D60C3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1D0017"/>
    <w:multiLevelType w:val="hybridMultilevel"/>
    <w:tmpl w:val="BBDEAB88"/>
    <w:lvl w:ilvl="0" w:tplc="1FC640E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9F26A6"/>
    <w:multiLevelType w:val="hybridMultilevel"/>
    <w:tmpl w:val="C10C5E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24012A"/>
    <w:multiLevelType w:val="hybridMultilevel"/>
    <w:tmpl w:val="98487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797F46"/>
    <w:multiLevelType w:val="hybridMultilevel"/>
    <w:tmpl w:val="D60C3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931F5F"/>
    <w:multiLevelType w:val="hybridMultilevel"/>
    <w:tmpl w:val="E6061B56"/>
    <w:lvl w:ilvl="0" w:tplc="103630B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961B25"/>
    <w:multiLevelType w:val="multilevel"/>
    <w:tmpl w:val="5838D834"/>
    <w:lvl w:ilvl="0">
      <w:start w:val="1"/>
      <w:numFmt w:val="decimal"/>
      <w:lvlText w:val="%1."/>
      <w:lvlJc w:val="left"/>
      <w:pPr>
        <w:ind w:left="360" w:hanging="360"/>
      </w:pPr>
      <w:rPr>
        <w:rFonts w:hint="default"/>
      </w:rPr>
    </w:lvl>
    <w:lvl w:ilvl="1">
      <w:start w:val="1"/>
      <w:numFmt w:val="decimal"/>
      <w:pStyle w:val="Nadpis3"/>
      <w:lvlText w:val="%1.%2."/>
      <w:lvlJc w:val="left"/>
      <w:pPr>
        <w:ind w:left="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9D551A"/>
    <w:multiLevelType w:val="hybridMultilevel"/>
    <w:tmpl w:val="D188E1DC"/>
    <w:lvl w:ilvl="0" w:tplc="5FC6B5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4429616">
    <w:abstractNumId w:val="4"/>
  </w:num>
  <w:num w:numId="2" w16cid:durableId="614403595">
    <w:abstractNumId w:val="7"/>
  </w:num>
  <w:num w:numId="3" w16cid:durableId="398788350">
    <w:abstractNumId w:val="5"/>
  </w:num>
  <w:num w:numId="4" w16cid:durableId="1666126956">
    <w:abstractNumId w:val="3"/>
  </w:num>
  <w:num w:numId="5" w16cid:durableId="1075781116">
    <w:abstractNumId w:val="9"/>
  </w:num>
  <w:num w:numId="6" w16cid:durableId="266740459">
    <w:abstractNumId w:val="8"/>
  </w:num>
  <w:num w:numId="7" w16cid:durableId="1093433483">
    <w:abstractNumId w:val="6"/>
  </w:num>
  <w:num w:numId="8" w16cid:durableId="1631665386">
    <w:abstractNumId w:val="10"/>
  </w:num>
  <w:num w:numId="9" w16cid:durableId="1858039658">
    <w:abstractNumId w:val="2"/>
  </w:num>
  <w:num w:numId="10" w16cid:durableId="1727336277">
    <w:abstractNumId w:val="0"/>
  </w:num>
  <w:num w:numId="11" w16cid:durableId="48385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90"/>
    <w:rsid w:val="00004493"/>
    <w:rsid w:val="00004D73"/>
    <w:rsid w:val="0000595E"/>
    <w:rsid w:val="00040EDA"/>
    <w:rsid w:val="00047782"/>
    <w:rsid w:val="00057EEF"/>
    <w:rsid w:val="00081B82"/>
    <w:rsid w:val="000E4683"/>
    <w:rsid w:val="00145DF0"/>
    <w:rsid w:val="001549FB"/>
    <w:rsid w:val="00191011"/>
    <w:rsid w:val="001A021B"/>
    <w:rsid w:val="001B7E79"/>
    <w:rsid w:val="001C08D1"/>
    <w:rsid w:val="001D12C5"/>
    <w:rsid w:val="001E7D75"/>
    <w:rsid w:val="00211057"/>
    <w:rsid w:val="00215ED4"/>
    <w:rsid w:val="00250656"/>
    <w:rsid w:val="002734FE"/>
    <w:rsid w:val="002F7131"/>
    <w:rsid w:val="003242F8"/>
    <w:rsid w:val="00335E82"/>
    <w:rsid w:val="003432D9"/>
    <w:rsid w:val="00355710"/>
    <w:rsid w:val="00374216"/>
    <w:rsid w:val="003C591B"/>
    <w:rsid w:val="003C6A2D"/>
    <w:rsid w:val="004161D8"/>
    <w:rsid w:val="00431367"/>
    <w:rsid w:val="00433200"/>
    <w:rsid w:val="00455F94"/>
    <w:rsid w:val="004877A1"/>
    <w:rsid w:val="004A4E32"/>
    <w:rsid w:val="00510605"/>
    <w:rsid w:val="00523A76"/>
    <w:rsid w:val="00597714"/>
    <w:rsid w:val="005A487C"/>
    <w:rsid w:val="005C590A"/>
    <w:rsid w:val="005E0E4E"/>
    <w:rsid w:val="00607C07"/>
    <w:rsid w:val="00613F03"/>
    <w:rsid w:val="006410D2"/>
    <w:rsid w:val="00656075"/>
    <w:rsid w:val="00663737"/>
    <w:rsid w:val="006D6ED0"/>
    <w:rsid w:val="00730346"/>
    <w:rsid w:val="00763EFA"/>
    <w:rsid w:val="007C3407"/>
    <w:rsid w:val="007D0197"/>
    <w:rsid w:val="007E4260"/>
    <w:rsid w:val="007F47C3"/>
    <w:rsid w:val="007F4FD5"/>
    <w:rsid w:val="00814CEF"/>
    <w:rsid w:val="00827D90"/>
    <w:rsid w:val="00830E5A"/>
    <w:rsid w:val="00842B86"/>
    <w:rsid w:val="00845237"/>
    <w:rsid w:val="00853A3A"/>
    <w:rsid w:val="00865273"/>
    <w:rsid w:val="00891CE7"/>
    <w:rsid w:val="008B7A95"/>
    <w:rsid w:val="008D7F95"/>
    <w:rsid w:val="008E3768"/>
    <w:rsid w:val="00915CC3"/>
    <w:rsid w:val="009170AB"/>
    <w:rsid w:val="00990F7C"/>
    <w:rsid w:val="00A91069"/>
    <w:rsid w:val="00AD0864"/>
    <w:rsid w:val="00AD6594"/>
    <w:rsid w:val="00BC5ADA"/>
    <w:rsid w:val="00BC6CD5"/>
    <w:rsid w:val="00C101B0"/>
    <w:rsid w:val="00C85408"/>
    <w:rsid w:val="00CB1624"/>
    <w:rsid w:val="00CE0590"/>
    <w:rsid w:val="00CF6360"/>
    <w:rsid w:val="00D15242"/>
    <w:rsid w:val="00D338E3"/>
    <w:rsid w:val="00D42AE4"/>
    <w:rsid w:val="00D53300"/>
    <w:rsid w:val="00D84516"/>
    <w:rsid w:val="00E24194"/>
    <w:rsid w:val="00E807D5"/>
    <w:rsid w:val="00EB4F1C"/>
    <w:rsid w:val="00EE50B3"/>
    <w:rsid w:val="00F04478"/>
    <w:rsid w:val="00F07CE8"/>
    <w:rsid w:val="00F62B9D"/>
    <w:rsid w:val="00F83BC2"/>
    <w:rsid w:val="00F843C1"/>
    <w:rsid w:val="00FC7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40FC"/>
  <w15:chartTrackingRefBased/>
  <w15:docId w15:val="{E4305B1D-C961-47A3-8D9F-C55F0711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Odstavecseseznamem"/>
    <w:next w:val="Normln"/>
    <w:link w:val="Nadpis3Char"/>
    <w:autoRedefine/>
    <w:uiPriority w:val="9"/>
    <w:unhideWhenUsed/>
    <w:qFormat/>
    <w:rsid w:val="00D42AE4"/>
    <w:pPr>
      <w:numPr>
        <w:ilvl w:val="1"/>
        <w:numId w:val="5"/>
      </w:numPr>
      <w:jc w:val="both"/>
      <w:outlineLvl w:val="2"/>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7D90"/>
    <w:pPr>
      <w:ind w:left="720"/>
      <w:contextualSpacing/>
    </w:pPr>
  </w:style>
  <w:style w:type="paragraph" w:customStyle="1" w:styleId="oj-normal">
    <w:name w:val="oj-normal"/>
    <w:basedOn w:val="Normln"/>
    <w:rsid w:val="00915C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044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4478"/>
  </w:style>
  <w:style w:type="paragraph" w:styleId="Zpat">
    <w:name w:val="footer"/>
    <w:basedOn w:val="Normln"/>
    <w:link w:val="ZpatChar"/>
    <w:uiPriority w:val="99"/>
    <w:unhideWhenUsed/>
    <w:rsid w:val="00F044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4478"/>
  </w:style>
  <w:style w:type="paragraph" w:customStyle="1" w:styleId="oj-doc-ti">
    <w:name w:val="oj-doc-ti"/>
    <w:basedOn w:val="Normln"/>
    <w:rsid w:val="003242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slovan">
    <w:name w:val="základní text číslovaný"/>
    <w:basedOn w:val="Normln"/>
    <w:rsid w:val="00BC6CD5"/>
    <w:pPr>
      <w:tabs>
        <w:tab w:val="num" w:pos="1287"/>
      </w:tabs>
      <w:spacing w:before="120" w:after="60" w:line="240" w:lineRule="auto"/>
      <w:ind w:left="1287" w:hanging="720"/>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45237"/>
    <w:rPr>
      <w:sz w:val="16"/>
      <w:szCs w:val="16"/>
    </w:rPr>
  </w:style>
  <w:style w:type="paragraph" w:styleId="Textkomente">
    <w:name w:val="annotation text"/>
    <w:basedOn w:val="Normln"/>
    <w:link w:val="TextkomenteChar"/>
    <w:uiPriority w:val="99"/>
    <w:unhideWhenUsed/>
    <w:rsid w:val="00845237"/>
    <w:pPr>
      <w:spacing w:line="240" w:lineRule="auto"/>
    </w:pPr>
    <w:rPr>
      <w:sz w:val="20"/>
      <w:szCs w:val="20"/>
    </w:rPr>
  </w:style>
  <w:style w:type="character" w:customStyle="1" w:styleId="TextkomenteChar">
    <w:name w:val="Text komentáře Char"/>
    <w:basedOn w:val="Standardnpsmoodstavce"/>
    <w:link w:val="Textkomente"/>
    <w:uiPriority w:val="99"/>
    <w:rsid w:val="00845237"/>
    <w:rPr>
      <w:sz w:val="20"/>
      <w:szCs w:val="20"/>
    </w:rPr>
  </w:style>
  <w:style w:type="paragraph" w:styleId="Pedmtkomente">
    <w:name w:val="annotation subject"/>
    <w:basedOn w:val="Textkomente"/>
    <w:next w:val="Textkomente"/>
    <w:link w:val="PedmtkomenteChar"/>
    <w:uiPriority w:val="99"/>
    <w:semiHidden/>
    <w:unhideWhenUsed/>
    <w:rsid w:val="00845237"/>
    <w:rPr>
      <w:b/>
      <w:bCs/>
    </w:rPr>
  </w:style>
  <w:style w:type="character" w:customStyle="1" w:styleId="PedmtkomenteChar">
    <w:name w:val="Předmět komentáře Char"/>
    <w:basedOn w:val="TextkomenteChar"/>
    <w:link w:val="Pedmtkomente"/>
    <w:uiPriority w:val="99"/>
    <w:semiHidden/>
    <w:rsid w:val="00845237"/>
    <w:rPr>
      <w:b/>
      <w:bCs/>
      <w:sz w:val="20"/>
      <w:szCs w:val="20"/>
    </w:rPr>
  </w:style>
  <w:style w:type="character" w:styleId="Hypertextovodkaz">
    <w:name w:val="Hyperlink"/>
    <w:basedOn w:val="Standardnpsmoodstavce"/>
    <w:uiPriority w:val="99"/>
    <w:unhideWhenUsed/>
    <w:rsid w:val="00215ED4"/>
    <w:rPr>
      <w:color w:val="0563C1" w:themeColor="hyperlink"/>
      <w:u w:val="single"/>
    </w:rPr>
  </w:style>
  <w:style w:type="character" w:styleId="Nevyeenzmnka">
    <w:name w:val="Unresolved Mention"/>
    <w:basedOn w:val="Standardnpsmoodstavce"/>
    <w:uiPriority w:val="99"/>
    <w:semiHidden/>
    <w:unhideWhenUsed/>
    <w:rsid w:val="00215ED4"/>
    <w:rPr>
      <w:color w:val="605E5C"/>
      <w:shd w:val="clear" w:color="auto" w:fill="E1DFDD"/>
    </w:rPr>
  </w:style>
  <w:style w:type="character" w:customStyle="1" w:styleId="Nadpis3Char">
    <w:name w:val="Nadpis 3 Char"/>
    <w:basedOn w:val="Standardnpsmoodstavce"/>
    <w:link w:val="Nadpis3"/>
    <w:uiPriority w:val="9"/>
    <w:rsid w:val="00D42AE4"/>
    <w:rPr>
      <w:rFonts w:ascii="Times New Roman" w:hAnsi="Times New Roman" w:cs="Times New Roman"/>
    </w:rPr>
  </w:style>
  <w:style w:type="paragraph" w:styleId="Revize">
    <w:name w:val="Revision"/>
    <w:hidden/>
    <w:uiPriority w:val="99"/>
    <w:semiHidden/>
    <w:rsid w:val="003C5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45467">
      <w:bodyDiv w:val="1"/>
      <w:marLeft w:val="0"/>
      <w:marRight w:val="0"/>
      <w:marTop w:val="0"/>
      <w:marBottom w:val="0"/>
      <w:divBdr>
        <w:top w:val="none" w:sz="0" w:space="0" w:color="auto"/>
        <w:left w:val="none" w:sz="0" w:space="0" w:color="auto"/>
        <w:bottom w:val="none" w:sz="0" w:space="0" w:color="auto"/>
        <w:right w:val="none" w:sz="0" w:space="0" w:color="auto"/>
      </w:divBdr>
      <w:divsChild>
        <w:div w:id="1151675550">
          <w:marLeft w:val="0"/>
          <w:marRight w:val="0"/>
          <w:marTop w:val="0"/>
          <w:marBottom w:val="0"/>
          <w:divBdr>
            <w:top w:val="none" w:sz="0" w:space="0" w:color="auto"/>
            <w:left w:val="none" w:sz="0" w:space="0" w:color="auto"/>
            <w:bottom w:val="none" w:sz="0" w:space="0" w:color="auto"/>
            <w:right w:val="none" w:sz="0" w:space="0" w:color="auto"/>
          </w:divBdr>
        </w:div>
        <w:div w:id="1192496460">
          <w:marLeft w:val="0"/>
          <w:marRight w:val="0"/>
          <w:marTop w:val="0"/>
          <w:marBottom w:val="0"/>
          <w:divBdr>
            <w:top w:val="none" w:sz="0" w:space="0" w:color="auto"/>
            <w:left w:val="none" w:sz="0" w:space="0" w:color="auto"/>
            <w:bottom w:val="none" w:sz="0" w:space="0" w:color="auto"/>
            <w:right w:val="none" w:sz="0" w:space="0" w:color="auto"/>
          </w:divBdr>
        </w:div>
      </w:divsChild>
    </w:div>
    <w:div w:id="1057362238">
      <w:bodyDiv w:val="1"/>
      <w:marLeft w:val="0"/>
      <w:marRight w:val="0"/>
      <w:marTop w:val="0"/>
      <w:marBottom w:val="0"/>
      <w:divBdr>
        <w:top w:val="none" w:sz="0" w:space="0" w:color="auto"/>
        <w:left w:val="none" w:sz="0" w:space="0" w:color="auto"/>
        <w:bottom w:val="none" w:sz="0" w:space="0" w:color="auto"/>
        <w:right w:val="none" w:sz="0" w:space="0" w:color="auto"/>
      </w:divBdr>
      <w:divsChild>
        <w:div w:id="442650195">
          <w:marLeft w:val="0"/>
          <w:marRight w:val="0"/>
          <w:marTop w:val="0"/>
          <w:marBottom w:val="0"/>
          <w:divBdr>
            <w:top w:val="none" w:sz="0" w:space="0" w:color="auto"/>
            <w:left w:val="none" w:sz="0" w:space="0" w:color="auto"/>
            <w:bottom w:val="none" w:sz="0" w:space="0" w:color="auto"/>
            <w:right w:val="none" w:sz="0" w:space="0" w:color="auto"/>
          </w:divBdr>
        </w:div>
        <w:div w:id="913860096">
          <w:marLeft w:val="0"/>
          <w:marRight w:val="0"/>
          <w:marTop w:val="0"/>
          <w:marBottom w:val="0"/>
          <w:divBdr>
            <w:top w:val="none" w:sz="0" w:space="0" w:color="auto"/>
            <w:left w:val="none" w:sz="0" w:space="0" w:color="auto"/>
            <w:bottom w:val="none" w:sz="0" w:space="0" w:color="auto"/>
            <w:right w:val="none" w:sz="0" w:space="0" w:color="auto"/>
          </w:divBdr>
          <w:divsChild>
            <w:div w:id="1765375618">
              <w:marLeft w:val="0"/>
              <w:marRight w:val="0"/>
              <w:marTop w:val="0"/>
              <w:marBottom w:val="0"/>
              <w:divBdr>
                <w:top w:val="none" w:sz="0" w:space="0" w:color="auto"/>
                <w:left w:val="none" w:sz="0" w:space="0" w:color="auto"/>
                <w:bottom w:val="none" w:sz="0" w:space="0" w:color="auto"/>
                <w:right w:val="none" w:sz="0" w:space="0" w:color="auto"/>
              </w:divBdr>
            </w:div>
            <w:div w:id="5485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119">
      <w:bodyDiv w:val="1"/>
      <w:marLeft w:val="0"/>
      <w:marRight w:val="0"/>
      <w:marTop w:val="0"/>
      <w:marBottom w:val="0"/>
      <w:divBdr>
        <w:top w:val="none" w:sz="0" w:space="0" w:color="auto"/>
        <w:left w:val="none" w:sz="0" w:space="0" w:color="auto"/>
        <w:bottom w:val="none" w:sz="0" w:space="0" w:color="auto"/>
        <w:right w:val="none" w:sz="0" w:space="0" w:color="auto"/>
      </w:divBdr>
    </w:div>
    <w:div w:id="1084839942">
      <w:bodyDiv w:val="1"/>
      <w:marLeft w:val="0"/>
      <w:marRight w:val="0"/>
      <w:marTop w:val="0"/>
      <w:marBottom w:val="0"/>
      <w:divBdr>
        <w:top w:val="none" w:sz="0" w:space="0" w:color="auto"/>
        <w:left w:val="none" w:sz="0" w:space="0" w:color="auto"/>
        <w:bottom w:val="none" w:sz="0" w:space="0" w:color="auto"/>
        <w:right w:val="none" w:sz="0" w:space="0" w:color="auto"/>
      </w:divBdr>
      <w:divsChild>
        <w:div w:id="93524453">
          <w:marLeft w:val="0"/>
          <w:marRight w:val="0"/>
          <w:marTop w:val="0"/>
          <w:marBottom w:val="0"/>
          <w:divBdr>
            <w:top w:val="none" w:sz="0" w:space="0" w:color="auto"/>
            <w:left w:val="none" w:sz="0" w:space="0" w:color="auto"/>
            <w:bottom w:val="none" w:sz="0" w:space="0" w:color="auto"/>
            <w:right w:val="none" w:sz="0" w:space="0" w:color="auto"/>
          </w:divBdr>
        </w:div>
        <w:div w:id="480003491">
          <w:marLeft w:val="0"/>
          <w:marRight w:val="0"/>
          <w:marTop w:val="0"/>
          <w:marBottom w:val="0"/>
          <w:divBdr>
            <w:top w:val="none" w:sz="0" w:space="0" w:color="auto"/>
            <w:left w:val="none" w:sz="0" w:space="0" w:color="auto"/>
            <w:bottom w:val="none" w:sz="0" w:space="0" w:color="auto"/>
            <w:right w:val="none" w:sz="0" w:space="0" w:color="auto"/>
          </w:divBdr>
        </w:div>
        <w:div w:id="479419180">
          <w:marLeft w:val="0"/>
          <w:marRight w:val="0"/>
          <w:marTop w:val="0"/>
          <w:marBottom w:val="0"/>
          <w:divBdr>
            <w:top w:val="none" w:sz="0" w:space="0" w:color="auto"/>
            <w:left w:val="none" w:sz="0" w:space="0" w:color="auto"/>
            <w:bottom w:val="none" w:sz="0" w:space="0" w:color="auto"/>
            <w:right w:val="none" w:sz="0" w:space="0" w:color="auto"/>
          </w:divBdr>
        </w:div>
      </w:divsChild>
    </w:div>
    <w:div w:id="1342782872">
      <w:bodyDiv w:val="1"/>
      <w:marLeft w:val="0"/>
      <w:marRight w:val="0"/>
      <w:marTop w:val="0"/>
      <w:marBottom w:val="0"/>
      <w:divBdr>
        <w:top w:val="none" w:sz="0" w:space="0" w:color="auto"/>
        <w:left w:val="none" w:sz="0" w:space="0" w:color="auto"/>
        <w:bottom w:val="none" w:sz="0" w:space="0" w:color="auto"/>
        <w:right w:val="none" w:sz="0" w:space="0" w:color="auto"/>
      </w:divBdr>
    </w:div>
    <w:div w:id="1344673852">
      <w:bodyDiv w:val="1"/>
      <w:marLeft w:val="0"/>
      <w:marRight w:val="0"/>
      <w:marTop w:val="0"/>
      <w:marBottom w:val="0"/>
      <w:divBdr>
        <w:top w:val="none" w:sz="0" w:space="0" w:color="auto"/>
        <w:left w:val="none" w:sz="0" w:space="0" w:color="auto"/>
        <w:bottom w:val="none" w:sz="0" w:space="0" w:color="auto"/>
        <w:right w:val="none" w:sz="0" w:space="0" w:color="auto"/>
      </w:divBdr>
    </w:div>
    <w:div w:id="1390611742">
      <w:bodyDiv w:val="1"/>
      <w:marLeft w:val="0"/>
      <w:marRight w:val="0"/>
      <w:marTop w:val="0"/>
      <w:marBottom w:val="0"/>
      <w:divBdr>
        <w:top w:val="none" w:sz="0" w:space="0" w:color="auto"/>
        <w:left w:val="none" w:sz="0" w:space="0" w:color="auto"/>
        <w:bottom w:val="none" w:sz="0" w:space="0" w:color="auto"/>
        <w:right w:val="none" w:sz="0" w:space="0" w:color="auto"/>
      </w:divBdr>
    </w:div>
    <w:div w:id="1657611544">
      <w:bodyDiv w:val="1"/>
      <w:marLeft w:val="0"/>
      <w:marRight w:val="0"/>
      <w:marTop w:val="0"/>
      <w:marBottom w:val="0"/>
      <w:divBdr>
        <w:top w:val="none" w:sz="0" w:space="0" w:color="auto"/>
        <w:left w:val="none" w:sz="0" w:space="0" w:color="auto"/>
        <w:bottom w:val="none" w:sz="0" w:space="0" w:color="auto"/>
        <w:right w:val="none" w:sz="0" w:space="0" w:color="auto"/>
      </w:divBdr>
      <w:divsChild>
        <w:div w:id="1348948342">
          <w:marLeft w:val="0"/>
          <w:marRight w:val="0"/>
          <w:marTop w:val="0"/>
          <w:marBottom w:val="0"/>
          <w:divBdr>
            <w:top w:val="none" w:sz="0" w:space="0" w:color="auto"/>
            <w:left w:val="none" w:sz="0" w:space="0" w:color="auto"/>
            <w:bottom w:val="none" w:sz="0" w:space="0" w:color="auto"/>
            <w:right w:val="none" w:sz="0" w:space="0" w:color="auto"/>
          </w:divBdr>
        </w:div>
        <w:div w:id="1131171695">
          <w:marLeft w:val="0"/>
          <w:marRight w:val="0"/>
          <w:marTop w:val="0"/>
          <w:marBottom w:val="0"/>
          <w:divBdr>
            <w:top w:val="none" w:sz="0" w:space="0" w:color="auto"/>
            <w:left w:val="none" w:sz="0" w:space="0" w:color="auto"/>
            <w:bottom w:val="none" w:sz="0" w:space="0" w:color="auto"/>
            <w:right w:val="none" w:sz="0" w:space="0" w:color="auto"/>
          </w:divBdr>
        </w:div>
        <w:div w:id="1885674470">
          <w:marLeft w:val="0"/>
          <w:marRight w:val="0"/>
          <w:marTop w:val="0"/>
          <w:marBottom w:val="0"/>
          <w:divBdr>
            <w:top w:val="none" w:sz="0" w:space="0" w:color="auto"/>
            <w:left w:val="none" w:sz="0" w:space="0" w:color="auto"/>
            <w:bottom w:val="none" w:sz="0" w:space="0" w:color="auto"/>
            <w:right w:val="none" w:sz="0" w:space="0" w:color="auto"/>
          </w:divBdr>
        </w:div>
      </w:divsChild>
    </w:div>
    <w:div w:id="19789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yainvest.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2612</Words>
  <Characters>15416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Dostrašil</dc:creator>
  <cp:keywords/>
  <dc:description/>
  <cp:lastModifiedBy>Jaroušek Petr</cp:lastModifiedBy>
  <cp:revision>3</cp:revision>
  <dcterms:created xsi:type="dcterms:W3CDTF">2025-07-11T14:00:00Z</dcterms:created>
  <dcterms:modified xsi:type="dcterms:W3CDTF">2025-07-11T14:01:00Z</dcterms:modified>
</cp:coreProperties>
</file>