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1CD1" w14:textId="77777777" w:rsidR="009C73E9" w:rsidRPr="0065043D" w:rsidRDefault="00707EC8" w:rsidP="00650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 xml:space="preserve">OSTATNÍ </w:t>
      </w:r>
      <w:r w:rsidR="00F77CBE">
        <w:rPr>
          <w:b/>
          <w:color w:val="2F5496" w:themeColor="accent1" w:themeShade="BF"/>
          <w:sz w:val="28"/>
          <w:szCs w:val="28"/>
        </w:rPr>
        <w:t xml:space="preserve">INFORMACE </w:t>
      </w:r>
      <w:r>
        <w:rPr>
          <w:b/>
          <w:color w:val="2F5496" w:themeColor="accent1" w:themeShade="BF"/>
          <w:sz w:val="28"/>
          <w:szCs w:val="28"/>
        </w:rPr>
        <w:t>POSKYTOVANÉ V SOULADU S PRÁVNÍMI PŘEDPISY</w:t>
      </w:r>
    </w:p>
    <w:p w14:paraId="689F4807" w14:textId="73396F79" w:rsidR="00707EC8" w:rsidRDefault="00707EC8" w:rsidP="00707EC8">
      <w:pPr>
        <w:pStyle w:val="Odstavecseseznamem"/>
        <w:ind w:left="-142"/>
        <w:jc w:val="both"/>
      </w:pPr>
      <w:r>
        <w:t>Společnost</w:t>
      </w:r>
      <w:r w:rsidR="009C73E9">
        <w:t xml:space="preserve"> CODYA investiční společnost a.s., sídlem </w:t>
      </w:r>
      <w:r w:rsidR="0007075A" w:rsidRPr="007806E1">
        <w:t xml:space="preserve">Lidická 1879/48, Černá Pole, 602 00 Brno </w:t>
      </w:r>
      <w:r w:rsidR="009C73E9">
        <w:t>(dále jen „</w:t>
      </w:r>
      <w:r w:rsidR="009C73E9" w:rsidRPr="006E70B2">
        <w:rPr>
          <w:b/>
        </w:rPr>
        <w:t>Společnost</w:t>
      </w:r>
      <w:r w:rsidR="009C73E9">
        <w:t>“)</w:t>
      </w:r>
      <w:r w:rsidR="00DE7887">
        <w:t xml:space="preserve"> </w:t>
      </w:r>
      <w:r>
        <w:t xml:space="preserve">vypracovala v souladu s právními předpisy </w:t>
      </w:r>
      <w:r w:rsidR="00E07042">
        <w:t xml:space="preserve">následující </w:t>
      </w:r>
      <w:r>
        <w:t xml:space="preserve">informační dokument: </w:t>
      </w:r>
    </w:p>
    <w:p w14:paraId="419B2709" w14:textId="77777777" w:rsidR="00707EC8" w:rsidRDefault="00707EC8" w:rsidP="00707EC8">
      <w:pPr>
        <w:pStyle w:val="Odstavecseseznamem"/>
        <w:numPr>
          <w:ilvl w:val="0"/>
          <w:numId w:val="5"/>
        </w:numPr>
        <w:jc w:val="both"/>
      </w:pPr>
      <w:r>
        <w:t>Reklamační řád,</w:t>
      </w:r>
    </w:p>
    <w:p w14:paraId="78354CB9" w14:textId="77777777" w:rsidR="00E07042" w:rsidRDefault="00E07042" w:rsidP="00707EC8">
      <w:pPr>
        <w:pStyle w:val="Odstavecseseznamem"/>
        <w:numPr>
          <w:ilvl w:val="0"/>
          <w:numId w:val="5"/>
        </w:numPr>
        <w:jc w:val="both"/>
      </w:pPr>
      <w:r>
        <w:t>Informace o pobídkách,</w:t>
      </w:r>
    </w:p>
    <w:p w14:paraId="2FCD47D9" w14:textId="77777777" w:rsidR="00E07042" w:rsidRDefault="00E07042" w:rsidP="00707EC8">
      <w:pPr>
        <w:pStyle w:val="Odstavecseseznamem"/>
        <w:numPr>
          <w:ilvl w:val="0"/>
          <w:numId w:val="5"/>
        </w:numPr>
        <w:jc w:val="both"/>
      </w:pPr>
      <w:r>
        <w:t>Informace o zpracování osobních údajů,</w:t>
      </w:r>
    </w:p>
    <w:p w14:paraId="714A265F" w14:textId="77777777" w:rsidR="00E07042" w:rsidRDefault="00E07042" w:rsidP="00707EC8">
      <w:pPr>
        <w:pStyle w:val="Odstavecseseznamem"/>
        <w:numPr>
          <w:ilvl w:val="0"/>
          <w:numId w:val="5"/>
        </w:numPr>
        <w:jc w:val="both"/>
      </w:pPr>
      <w:r>
        <w:t>Zásady řízení střetů zájmů,</w:t>
      </w:r>
    </w:p>
    <w:p w14:paraId="44AF02D9" w14:textId="77777777" w:rsidR="00E07042" w:rsidRDefault="00E07042" w:rsidP="00707EC8">
      <w:pPr>
        <w:pStyle w:val="Odstavecseseznamem"/>
        <w:numPr>
          <w:ilvl w:val="0"/>
          <w:numId w:val="5"/>
        </w:numPr>
        <w:jc w:val="both"/>
      </w:pPr>
      <w:r>
        <w:t>Pravidla odměňování,</w:t>
      </w:r>
    </w:p>
    <w:p w14:paraId="090D0DE3" w14:textId="5FC0FA04" w:rsidR="00707EC8" w:rsidRDefault="003E6926" w:rsidP="00707EC8">
      <w:pPr>
        <w:pStyle w:val="Odstavecseseznamem"/>
        <w:numPr>
          <w:ilvl w:val="0"/>
          <w:numId w:val="5"/>
        </w:numPr>
        <w:jc w:val="both"/>
      </w:pPr>
      <w:r>
        <w:t>a Ostatní</w:t>
      </w:r>
      <w:r w:rsidR="00E07042">
        <w:t xml:space="preserve"> informace poskytované v souladu s právními předpisy</w:t>
      </w:r>
      <w:r w:rsidR="003468D7">
        <w:t xml:space="preserve"> (dále jen souhrnně „Informační dokumenty“)</w:t>
      </w:r>
      <w:r w:rsidR="00E07042">
        <w:t xml:space="preserve">. Veškeré </w:t>
      </w:r>
      <w:r w:rsidR="003468D7">
        <w:t>I</w:t>
      </w:r>
      <w:r w:rsidR="00707EC8">
        <w:t>nforma</w:t>
      </w:r>
      <w:r w:rsidR="00E07042">
        <w:t>ční dokumenty</w:t>
      </w:r>
      <w:r w:rsidR="00707EC8">
        <w:t xml:space="preserve"> jsou k dispozici na požádání v</w:t>
      </w:r>
      <w:r w:rsidR="00E07042">
        <w:t> listinné podobě na kontaktním místě</w:t>
      </w:r>
      <w:r w:rsidR="00707EC8">
        <w:t xml:space="preserve"> </w:t>
      </w:r>
      <w:r w:rsidR="003468D7">
        <w:t>S</w:t>
      </w:r>
      <w:r w:rsidR="00707EC8">
        <w:t xml:space="preserve">polečnosti nebo na </w:t>
      </w:r>
      <w:r w:rsidR="003468D7">
        <w:t>elektronicky na internetové adrese</w:t>
      </w:r>
      <w:r w:rsidR="00707EC8">
        <w:t xml:space="preserve"> </w:t>
      </w:r>
      <w:hyperlink r:id="rId7" w:history="1">
        <w:r w:rsidR="003468D7" w:rsidRPr="0053716E">
          <w:rPr>
            <w:rStyle w:val="Hypertextovodkaz"/>
          </w:rPr>
          <w:t>www.codyainvest.cz</w:t>
        </w:r>
      </w:hyperlink>
      <w:r w:rsidR="00707EC8">
        <w:t>.</w:t>
      </w:r>
    </w:p>
    <w:p w14:paraId="54DA62C7" w14:textId="77777777" w:rsidR="003468D7" w:rsidRDefault="003468D7" w:rsidP="00707EC8">
      <w:pPr>
        <w:pStyle w:val="Odstavecseseznamem"/>
        <w:ind w:left="-142"/>
        <w:jc w:val="both"/>
      </w:pPr>
    </w:p>
    <w:p w14:paraId="590C57AA" w14:textId="4AFF4D14" w:rsidR="00707EC8" w:rsidRDefault="00707EC8" w:rsidP="00707EC8">
      <w:pPr>
        <w:pStyle w:val="Odstavecseseznamem"/>
        <w:ind w:left="-142"/>
        <w:jc w:val="both"/>
      </w:pPr>
      <w:r>
        <w:t xml:space="preserve">Společnost je investiční společností ve smyslu </w:t>
      </w:r>
      <w:r w:rsidR="003468D7">
        <w:t>zákona č. 240/2013 Sb., o investičních společnostech a investičních fondech, ve znění pozdějších předpisů</w:t>
      </w:r>
      <w:r w:rsidR="005D674C">
        <w:t xml:space="preserve"> (dále jen „ZISIF“)</w:t>
      </w:r>
      <w:r w:rsidR="003468D7">
        <w:t>,</w:t>
      </w:r>
      <w:r>
        <w:t xml:space="preserve"> a </w:t>
      </w:r>
      <w:r w:rsidR="003E6926">
        <w:t>má oprávnění</w:t>
      </w:r>
      <w:r>
        <w:t xml:space="preserve"> v rozsahu povolení uděleného </w:t>
      </w:r>
      <w:r w:rsidR="003468D7">
        <w:t>Českou národní bankou</w:t>
      </w:r>
      <w:r>
        <w:t>:</w:t>
      </w:r>
    </w:p>
    <w:p w14:paraId="57D61ACD" w14:textId="7B69145F" w:rsidR="005D674C" w:rsidRDefault="005D674C" w:rsidP="00707EC8">
      <w:pPr>
        <w:pStyle w:val="Odstavecseseznamem"/>
        <w:ind w:left="-142"/>
        <w:jc w:val="both"/>
      </w:pPr>
    </w:p>
    <w:p w14:paraId="735B55BD" w14:textId="214B3E95" w:rsidR="00827F7C" w:rsidRDefault="00F9014F" w:rsidP="003E6926">
      <w:pPr>
        <w:pStyle w:val="Odstavecseseznamem"/>
        <w:numPr>
          <w:ilvl w:val="0"/>
          <w:numId w:val="7"/>
        </w:numPr>
        <w:spacing w:after="0"/>
        <w:jc w:val="both"/>
      </w:pPr>
      <w:r w:rsidRPr="00F9014F">
        <w:t>Oprávnění přesáhnout rozhodný limit</w:t>
      </w:r>
    </w:p>
    <w:p w14:paraId="7F15448A" w14:textId="0BDC2C55" w:rsidR="00F9014F" w:rsidRPr="003E6926" w:rsidRDefault="00F9014F" w:rsidP="003E6926">
      <w:pPr>
        <w:pStyle w:val="Odstavecseseznamem"/>
        <w:numPr>
          <w:ilvl w:val="0"/>
          <w:numId w:val="7"/>
        </w:numPr>
        <w:spacing w:after="0"/>
        <w:jc w:val="both"/>
      </w:pPr>
      <w:r w:rsidRPr="003E6926">
        <w:t>Obhospodařování investičních fondů nebo zahraničních investičních fondů (tj. činnost dle § 11/1/a ZISIF)</w:t>
      </w:r>
      <w:r>
        <w:t>.</w:t>
      </w:r>
    </w:p>
    <w:p w14:paraId="7A242E67" w14:textId="67EC1682" w:rsidR="00F9014F" w:rsidRDefault="00F9014F" w:rsidP="003E6926">
      <w:pPr>
        <w:spacing w:after="0"/>
        <w:jc w:val="both"/>
      </w:pPr>
      <w:r w:rsidRPr="00F9014F">
        <w:t>- speciální fondy</w:t>
      </w:r>
      <w:r>
        <w:t>;</w:t>
      </w:r>
    </w:p>
    <w:p w14:paraId="53281CAC" w14:textId="596E8B9B" w:rsidR="00F9014F" w:rsidRDefault="00F9014F" w:rsidP="00F9014F">
      <w:pPr>
        <w:spacing w:after="0"/>
        <w:jc w:val="both"/>
      </w:pPr>
      <w:r w:rsidRPr="00F9014F">
        <w:t>- zahraniční investiční fondy srovnatelné se speciálním fondem</w:t>
      </w:r>
      <w:r>
        <w:t>;</w:t>
      </w:r>
    </w:p>
    <w:p w14:paraId="3F766303" w14:textId="7693456B" w:rsidR="00F9014F" w:rsidRDefault="00F9014F" w:rsidP="00F9014F">
      <w:pPr>
        <w:spacing w:after="0"/>
        <w:jc w:val="both"/>
      </w:pPr>
      <w:r w:rsidRPr="00F9014F">
        <w:t>- fondy kvalifikovaných investorů (s výjimkou kvalifikovaných fondů rizikového kapitálu a kvalifikovaných fondů sociálního podnikaní)</w:t>
      </w:r>
      <w:r>
        <w:t>;</w:t>
      </w:r>
    </w:p>
    <w:p w14:paraId="591DE1D9" w14:textId="1F37742F" w:rsidR="00F9014F" w:rsidRDefault="00F9014F" w:rsidP="00F9014F">
      <w:pPr>
        <w:spacing w:after="0"/>
        <w:jc w:val="both"/>
      </w:pPr>
      <w:r w:rsidRPr="00F9014F">
        <w:t>- zahraniční investiční fondy srovnatelné s fondem kvalifikovaných investorů (s výjimkou zahraničních investičních fondů srovnatelných s fondy kvalifikovaných fondů rizikového kapitálu a fondy kvalifikovaných fondů sociálního podnikaní)</w:t>
      </w:r>
    </w:p>
    <w:p w14:paraId="5DC5D493" w14:textId="60B93485" w:rsidR="00F9014F" w:rsidRDefault="00F9014F" w:rsidP="00F9014F">
      <w:pPr>
        <w:pStyle w:val="Odstavecseseznamem"/>
        <w:numPr>
          <w:ilvl w:val="0"/>
          <w:numId w:val="7"/>
        </w:numPr>
        <w:spacing w:after="0"/>
        <w:jc w:val="both"/>
      </w:pPr>
      <w:r w:rsidRPr="003E6926">
        <w:t>Provádění administrace investičních fondů nebo zahraničních investičních fondů podle § 38 odst. 1 ZISIF (tj. činnost dle § 11/1/b ZISIF) pro</w:t>
      </w:r>
    </w:p>
    <w:p w14:paraId="298FF232" w14:textId="5C27A524" w:rsidR="00F9014F" w:rsidRDefault="00F9014F" w:rsidP="00F9014F">
      <w:pPr>
        <w:pStyle w:val="Odstavecseseznamem"/>
        <w:spacing w:after="0"/>
        <w:ind w:left="218"/>
        <w:jc w:val="both"/>
      </w:pPr>
      <w:r w:rsidRPr="00F9014F">
        <w:t>- speciální fondy</w:t>
      </w:r>
      <w:r>
        <w:t>;</w:t>
      </w:r>
    </w:p>
    <w:p w14:paraId="7FD2BE78" w14:textId="3AC00DC0" w:rsidR="00F9014F" w:rsidRDefault="00F9014F" w:rsidP="00F9014F">
      <w:pPr>
        <w:pStyle w:val="Odstavecseseznamem"/>
        <w:spacing w:after="0"/>
        <w:ind w:left="218"/>
        <w:jc w:val="both"/>
      </w:pPr>
      <w:r w:rsidRPr="00F9014F">
        <w:t>- zahraniční investiční fondy srovnatelné se speciálním fondem</w:t>
      </w:r>
      <w:r>
        <w:t xml:space="preserve">; </w:t>
      </w:r>
    </w:p>
    <w:p w14:paraId="286C37B2" w14:textId="54039E56" w:rsidR="00F9014F" w:rsidRDefault="00F9014F" w:rsidP="00F9014F">
      <w:pPr>
        <w:pStyle w:val="Odstavecseseznamem"/>
        <w:spacing w:after="0"/>
        <w:ind w:left="218"/>
        <w:jc w:val="both"/>
      </w:pPr>
      <w:r w:rsidRPr="00F9014F">
        <w:t>- fondy kvalifikovaných investorů (s výjimkou kvalifikovaných fondů rizikového kapitálu a kvalifikovaných fondů sociálního podnikaní)</w:t>
      </w:r>
      <w:r>
        <w:t>;</w:t>
      </w:r>
    </w:p>
    <w:p w14:paraId="6FFDBF01" w14:textId="458504C4" w:rsidR="00F9014F" w:rsidRDefault="00F9014F" w:rsidP="00F9014F">
      <w:pPr>
        <w:pStyle w:val="Odstavecseseznamem"/>
        <w:spacing w:after="0"/>
        <w:ind w:left="218"/>
        <w:jc w:val="both"/>
      </w:pPr>
      <w:r w:rsidRPr="00F9014F">
        <w:t>- zahraniční investiční fondy srovnatelné s fondem kvalifikovaných investorů (s výjimkou zahraničních investičních fondů srovnatelných s fondy kvalifikovaných fondů rizikového kapitálu a fondy kvalifikovaných fondů sociálního podnikaní)</w:t>
      </w:r>
      <w:r>
        <w:t>.</w:t>
      </w:r>
    </w:p>
    <w:p w14:paraId="692594C1" w14:textId="77777777" w:rsidR="00F9014F" w:rsidRDefault="00F9014F" w:rsidP="003E6926">
      <w:pPr>
        <w:pStyle w:val="Odstavecseseznamem"/>
        <w:spacing w:after="0"/>
        <w:ind w:left="218"/>
        <w:jc w:val="both"/>
      </w:pPr>
    </w:p>
    <w:p w14:paraId="2E1A7854" w14:textId="77777777" w:rsidR="00F9014F" w:rsidRDefault="00F9014F" w:rsidP="003E6926">
      <w:pPr>
        <w:spacing w:after="0"/>
        <w:jc w:val="both"/>
      </w:pPr>
    </w:p>
    <w:p w14:paraId="4BCF0297" w14:textId="77777777" w:rsidR="00707EC8" w:rsidRDefault="00707EC8" w:rsidP="00707EC8">
      <w:pPr>
        <w:pStyle w:val="Odstavecseseznamem"/>
        <w:ind w:left="-142"/>
        <w:jc w:val="both"/>
      </w:pPr>
      <w:r>
        <w:t>Společnost podléhá dohledu České národní banky ve smyslu zákona č. 15/1998 Sb.</w:t>
      </w:r>
      <w:r w:rsidR="005D674C">
        <w:t>,</w:t>
      </w:r>
      <w:r>
        <w:t xml:space="preserve"> o dohledu v oblasti kapitálového trhu a o změně a doplnění dalších zákonů</w:t>
      </w:r>
      <w:r w:rsidR="005D674C">
        <w:t>, ve znění pozdějších předpisů</w:t>
      </w:r>
      <w:r>
        <w:t>.</w:t>
      </w:r>
    </w:p>
    <w:p w14:paraId="5FA325B5" w14:textId="77777777" w:rsidR="00707EC8" w:rsidRDefault="00707EC8" w:rsidP="00707EC8">
      <w:pPr>
        <w:pStyle w:val="Odstavecseseznamem"/>
        <w:ind w:left="-142"/>
        <w:jc w:val="both"/>
      </w:pPr>
    </w:p>
    <w:p w14:paraId="10EA7C34" w14:textId="46C995AD" w:rsidR="00707EC8" w:rsidRDefault="00707EC8" w:rsidP="0062328F">
      <w:pPr>
        <w:pStyle w:val="Odstavecseseznamem"/>
        <w:ind w:left="-142"/>
        <w:jc w:val="both"/>
      </w:pPr>
      <w:r>
        <w:t xml:space="preserve">Společnost zpřístupňuje před uskutečněním investice investorům informace </w:t>
      </w:r>
      <w:r w:rsidR="00C7135C">
        <w:t>uvedené</w:t>
      </w:r>
      <w:r w:rsidR="003C142C">
        <w:t xml:space="preserve"> </w:t>
      </w:r>
      <w:r>
        <w:t xml:space="preserve">ve </w:t>
      </w:r>
      <w:r w:rsidR="00591EA6">
        <w:t>s</w:t>
      </w:r>
      <w:r>
        <w:t xml:space="preserve">tatutech příslušných </w:t>
      </w:r>
      <w:r w:rsidR="00591EA6">
        <w:t>Fondů</w:t>
      </w:r>
      <w:r w:rsidR="003C142C">
        <w:t xml:space="preserve"> v souladu s právními předpisy.</w:t>
      </w:r>
      <w:r w:rsidR="00591EA6">
        <w:t xml:space="preserve"> </w:t>
      </w:r>
    </w:p>
    <w:p w14:paraId="0EAB9C81" w14:textId="77777777" w:rsidR="0062328F" w:rsidRDefault="0062328F" w:rsidP="0062328F">
      <w:pPr>
        <w:pStyle w:val="Odstavecseseznamem"/>
        <w:ind w:left="-142"/>
        <w:jc w:val="both"/>
      </w:pPr>
    </w:p>
    <w:p w14:paraId="689FAA85" w14:textId="77777777" w:rsidR="00591EA6" w:rsidRDefault="00591EA6" w:rsidP="00591EA6">
      <w:pPr>
        <w:pStyle w:val="Odstavecseseznamem"/>
        <w:ind w:left="-142"/>
        <w:jc w:val="both"/>
      </w:pPr>
      <w:r w:rsidRPr="0062328F">
        <w:rPr>
          <w:u w:val="single"/>
        </w:rPr>
        <w:t>Hlasovací práva</w:t>
      </w:r>
      <w:r>
        <w:t xml:space="preserve"> spojená s cennými papíry v majetku Fondů jsou </w:t>
      </w:r>
      <w:r w:rsidR="0062328F">
        <w:t xml:space="preserve">Společností </w:t>
      </w:r>
      <w:r>
        <w:t xml:space="preserve">vykonávána výlučně ve prospěch </w:t>
      </w:r>
      <w:r w:rsidR="0062328F">
        <w:t>těchto</w:t>
      </w:r>
      <w:r>
        <w:t xml:space="preserve"> Fondů. </w:t>
      </w:r>
      <w:r w:rsidR="0062328F">
        <w:t>Společnost</w:t>
      </w:r>
      <w:r>
        <w:t xml:space="preserve"> dbá na soulad výkonu hlasovacích práv s</w:t>
      </w:r>
      <w:r w:rsidR="0062328F">
        <w:t> </w:t>
      </w:r>
      <w:r>
        <w:t>investičn</w:t>
      </w:r>
      <w:r w:rsidR="0062328F">
        <w:t xml:space="preserve">í strategií </w:t>
      </w:r>
      <w:r>
        <w:t xml:space="preserve">Fondů. Zároveň </w:t>
      </w:r>
      <w:r w:rsidR="0062328F">
        <w:t>Společnost</w:t>
      </w:r>
      <w:r>
        <w:t xml:space="preserve"> dbá na identifikaci, předcházení a řízení případných střetů zájmů, které mohou </w:t>
      </w:r>
      <w:r>
        <w:lastRenderedPageBreak/>
        <w:t xml:space="preserve">vzniknout z výkonu hlasovacích práv. </w:t>
      </w:r>
      <w:r w:rsidR="0062328F">
        <w:t>Společnost</w:t>
      </w:r>
      <w:r>
        <w:t xml:space="preserve"> průběžně sleduje významné události spojené s emitentem, jehož cenné papíry jsou v majetku Fondu a spolu s dokumenty tímto emitentem vydanými nebo těmi, jež mohou jakkoliv ovlivnit výkon hlasovacích práv, je analyzuje. Na základě získaných informací pak definuje strategii výkonu hlasovacích práv. Podrobnější informace k výkonu hlasovacích práv poskytne </w:t>
      </w:r>
      <w:r w:rsidR="0062328F">
        <w:t>Společnost investorovi</w:t>
      </w:r>
      <w:r>
        <w:t xml:space="preserve"> na požádání.</w:t>
      </w:r>
    </w:p>
    <w:p w14:paraId="505DB038" w14:textId="77777777" w:rsidR="00707EC8" w:rsidRDefault="00707EC8" w:rsidP="00707EC8">
      <w:pPr>
        <w:pStyle w:val="Odstavecseseznamem"/>
        <w:ind w:left="-142"/>
        <w:jc w:val="both"/>
      </w:pPr>
    </w:p>
    <w:p w14:paraId="353E3082" w14:textId="77777777" w:rsidR="002245C2" w:rsidRDefault="00707EC8" w:rsidP="002245C2">
      <w:pPr>
        <w:pStyle w:val="Odstavecseseznamem"/>
        <w:ind w:left="-142"/>
        <w:jc w:val="both"/>
      </w:pPr>
      <w:r>
        <w:t xml:space="preserve">Společnost vypracovala pravidla a stanovila procesy pro provádění obchodů s investičními nástroji při realizaci investiční strategie Fondu. </w:t>
      </w:r>
      <w:r w:rsidR="0062328F">
        <w:t xml:space="preserve">Společnost provádí obchody nebo předává pokyny k provedení obchodu za nejlepších podmínek a nesmí upřednostňovat zájmy jedné skupiny </w:t>
      </w:r>
      <w:r w:rsidR="0063737A">
        <w:t>investorů Fondu</w:t>
      </w:r>
      <w:r w:rsidR="0062328F">
        <w:t xml:space="preserve"> nad zájmy jiné skupiny </w:t>
      </w:r>
      <w:r w:rsidR="002245C2">
        <w:t>investorů</w:t>
      </w:r>
      <w:r w:rsidR="0062328F">
        <w:t xml:space="preserve"> Fond</w:t>
      </w:r>
      <w:r w:rsidR="002245C2">
        <w:t>u</w:t>
      </w:r>
      <w:r w:rsidR="0062328F">
        <w:t xml:space="preserve">. </w:t>
      </w:r>
      <w:r w:rsidR="002245C2">
        <w:t>Společnost</w:t>
      </w:r>
      <w:r w:rsidR="0062328F">
        <w:t xml:space="preserve"> za účelem provedení obchodu za nejlepších podmínek zohledňuje zejména cenu, kterou lze dosáhnout na převodním místě, celkový objem nákladů účtovaných Fondu, rychlost, s jakou lze pokyn k obchodu provést, pravděpodobnost provedení pokynu k obchodu, podmínky pro vypořádání, objem požadovaného obchodu, typ pokynu k obchodu a jakýkoli další faktor, který by mohl mít význam pro rozhodnutí o obchodu nebo zadávání pokynů jiným subjektům k provedení obchodu za nejlepších podmínek. </w:t>
      </w:r>
      <w:r w:rsidR="002245C2">
        <w:t>Pravidla pro provádění obchodů respektují se a dodržují stanovené vnitřní postupy a rozhodovací oprávnění, povinnosti vyplývající z interních rozhodnutí, statutů Fondů, legislativní úpravy a ostatních relevantních norem a investiční strategie Fondů.</w:t>
      </w:r>
    </w:p>
    <w:p w14:paraId="2DD7AEBD" w14:textId="77777777" w:rsidR="002245C2" w:rsidRDefault="002245C2" w:rsidP="0062328F">
      <w:pPr>
        <w:pStyle w:val="Odstavecseseznamem"/>
        <w:ind w:left="-142"/>
        <w:jc w:val="both"/>
      </w:pPr>
    </w:p>
    <w:p w14:paraId="46575563" w14:textId="77777777" w:rsidR="00707EC8" w:rsidRDefault="0062328F" w:rsidP="002245C2">
      <w:pPr>
        <w:pStyle w:val="Odstavecseseznamem"/>
        <w:ind w:left="-142"/>
        <w:jc w:val="both"/>
      </w:pPr>
      <w:r>
        <w:t xml:space="preserve">Pro uzavírání obchodů používá pouze </w:t>
      </w:r>
      <w:r w:rsidR="002245C2">
        <w:t xml:space="preserve">schválené </w:t>
      </w:r>
      <w:r>
        <w:t xml:space="preserve">protistrany. Při výběru protistrany pro konkrétní obchod </w:t>
      </w:r>
      <w:r w:rsidR="002245C2">
        <w:t>Společnost</w:t>
      </w:r>
      <w:r>
        <w:t xml:space="preserve"> vybere takové, u kterých lze na základě znalosti předmětného trhu, zkušenosti z předchozího obchodování, aktivity a nabízených cen předpokládat nejpříznivější podmínky pro realizaci obchodu a zájem na provedení obchodu. </w:t>
      </w:r>
      <w:r w:rsidR="002245C2">
        <w:t>Společnost</w:t>
      </w:r>
      <w:r>
        <w:t xml:space="preserve"> realizuje obchody za nejvýhodnější ze získaných cenových nabídek od schválených protistran s možnou výjimkou devizových či měnových obchodů nižších objemů, eventuálně měn náročnějších na vypořádací proces, kde je preferována realizace daného obchodu proti </w:t>
      </w:r>
      <w:r w:rsidR="002245C2">
        <w:t>bance, která je depozitářem příslušného Fondu</w:t>
      </w:r>
      <w:r>
        <w:t xml:space="preserve"> z důvodu omezení náročnosti vypořádacího procesu a transakčních nákladů. </w:t>
      </w:r>
      <w:r w:rsidR="00707EC8">
        <w:t>Společnost průběžně monitoruje a pravidelně vyhodnocuje účinnost pravidel pro provádění obchodů. Předmětem hodnocení je zejména efektivita samotných pravidel pro provádění obchodů, jejich praktické provádění a volba jednotlivých protistran.</w:t>
      </w:r>
    </w:p>
    <w:p w14:paraId="1F7390CE" w14:textId="77777777" w:rsidR="002245C2" w:rsidRDefault="002245C2" w:rsidP="002245C2">
      <w:pPr>
        <w:pStyle w:val="Odstavecseseznamem"/>
        <w:ind w:left="-142"/>
        <w:jc w:val="both"/>
      </w:pPr>
    </w:p>
    <w:p w14:paraId="2F870082" w14:textId="77777777" w:rsidR="003468D7" w:rsidRDefault="003468D7" w:rsidP="003468D7">
      <w:pPr>
        <w:pStyle w:val="Odstavecseseznamem"/>
        <w:ind w:left="-142"/>
        <w:jc w:val="both"/>
      </w:pPr>
      <w:r>
        <w:t>Společnost si vyhrazuje právo kdykoliv Informační dokumenty pozměnit či doplnit bez předchozího upozornění.</w:t>
      </w:r>
    </w:p>
    <w:p w14:paraId="692B549D" w14:textId="77777777" w:rsidR="003468D7" w:rsidRDefault="003468D7" w:rsidP="00707EC8">
      <w:pPr>
        <w:pStyle w:val="Odstavecseseznamem"/>
        <w:ind w:left="-142"/>
        <w:jc w:val="both"/>
      </w:pPr>
    </w:p>
    <w:p w14:paraId="3E59FFA0" w14:textId="618F96EB" w:rsidR="009C73E9" w:rsidRDefault="00E045EC" w:rsidP="00707EC8">
      <w:pPr>
        <w:pStyle w:val="Odstavecseseznamem"/>
        <w:ind w:left="-142"/>
        <w:jc w:val="both"/>
      </w:pPr>
      <w:r>
        <w:t xml:space="preserve">Tyto </w:t>
      </w:r>
      <w:r w:rsidR="00707EC8">
        <w:t>Ostatní i</w:t>
      </w:r>
      <w:r>
        <w:t xml:space="preserve">nformace </w:t>
      </w:r>
      <w:r w:rsidR="00707EC8">
        <w:t>p</w:t>
      </w:r>
      <w:r>
        <w:t>o</w:t>
      </w:r>
      <w:r w:rsidR="00707EC8">
        <w:t xml:space="preserve">skytované v souladu s právními předpisy </w:t>
      </w:r>
      <w:r w:rsidR="009C73E9">
        <w:t>j</w:t>
      </w:r>
      <w:r>
        <w:t>sou</w:t>
      </w:r>
      <w:r w:rsidR="009C73E9">
        <w:t xml:space="preserve"> platn</w:t>
      </w:r>
      <w:r>
        <w:t>é</w:t>
      </w:r>
      <w:r w:rsidR="009C73E9">
        <w:t xml:space="preserve"> a účinn</w:t>
      </w:r>
      <w:r>
        <w:t>é</w:t>
      </w:r>
      <w:r w:rsidR="009C73E9">
        <w:t xml:space="preserve"> dnem </w:t>
      </w:r>
      <w:r w:rsidR="0071064A">
        <w:t>1.</w:t>
      </w:r>
      <w:r w:rsidR="002B57DE">
        <w:t>6</w:t>
      </w:r>
      <w:r w:rsidR="0071064A">
        <w:t>.20</w:t>
      </w:r>
      <w:r w:rsidR="00DD75E7">
        <w:t>25</w:t>
      </w:r>
      <w:r w:rsidR="002A6F5E">
        <w:t>.</w:t>
      </w:r>
    </w:p>
    <w:sectPr w:rsidR="009C73E9" w:rsidSect="00D974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5956" w14:textId="77777777" w:rsidR="00763003" w:rsidRDefault="00763003" w:rsidP="0065043D">
      <w:pPr>
        <w:spacing w:after="0" w:line="240" w:lineRule="auto"/>
      </w:pPr>
      <w:r>
        <w:separator/>
      </w:r>
    </w:p>
  </w:endnote>
  <w:endnote w:type="continuationSeparator" w:id="0">
    <w:p w14:paraId="1763A07B" w14:textId="77777777" w:rsidR="00763003" w:rsidRDefault="00763003" w:rsidP="0065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4BB8" w14:textId="77777777" w:rsidR="00763003" w:rsidRDefault="00763003" w:rsidP="0065043D">
      <w:pPr>
        <w:spacing w:after="0" w:line="240" w:lineRule="auto"/>
      </w:pPr>
      <w:r>
        <w:separator/>
      </w:r>
    </w:p>
  </w:footnote>
  <w:footnote w:type="continuationSeparator" w:id="0">
    <w:p w14:paraId="7D1AA04D" w14:textId="77777777" w:rsidR="00763003" w:rsidRDefault="00763003" w:rsidP="0065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0A8B" w14:textId="77777777" w:rsidR="0065043D" w:rsidRDefault="0065043D">
    <w:pPr>
      <w:pStyle w:val="Zhlav"/>
    </w:pPr>
    <w:r>
      <w:t xml:space="preserve">             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774E2774" wp14:editId="0C4C7BAA">
          <wp:extent cx="1247775" cy="5143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9748" cy="515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E55FEC" w14:textId="77777777" w:rsidR="0065043D" w:rsidRDefault="006504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26FA"/>
    <w:multiLevelType w:val="hybridMultilevel"/>
    <w:tmpl w:val="09C2C4E6"/>
    <w:lvl w:ilvl="0" w:tplc="9D9CE29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018438B"/>
    <w:multiLevelType w:val="hybridMultilevel"/>
    <w:tmpl w:val="81285B8E"/>
    <w:lvl w:ilvl="0" w:tplc="177EB83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7E747DE"/>
    <w:multiLevelType w:val="hybridMultilevel"/>
    <w:tmpl w:val="14AC4E00"/>
    <w:lvl w:ilvl="0" w:tplc="BD0AB8EE">
      <w:start w:val="11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5C073022"/>
    <w:multiLevelType w:val="hybridMultilevel"/>
    <w:tmpl w:val="A28690A2"/>
    <w:lvl w:ilvl="0" w:tplc="F4DE9A1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274CDD"/>
    <w:multiLevelType w:val="hybridMultilevel"/>
    <w:tmpl w:val="ED94026E"/>
    <w:lvl w:ilvl="0" w:tplc="93B623F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C2B08AB"/>
    <w:multiLevelType w:val="hybridMultilevel"/>
    <w:tmpl w:val="E5941C60"/>
    <w:lvl w:ilvl="0" w:tplc="F766C6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1B69AF"/>
    <w:multiLevelType w:val="hybridMultilevel"/>
    <w:tmpl w:val="FC781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94872">
    <w:abstractNumId w:val="6"/>
  </w:num>
  <w:num w:numId="2" w16cid:durableId="1807354141">
    <w:abstractNumId w:val="3"/>
  </w:num>
  <w:num w:numId="3" w16cid:durableId="1135492930">
    <w:abstractNumId w:val="1"/>
  </w:num>
  <w:num w:numId="4" w16cid:durableId="2122650088">
    <w:abstractNumId w:val="5"/>
  </w:num>
  <w:num w:numId="5" w16cid:durableId="321197186">
    <w:abstractNumId w:val="2"/>
  </w:num>
  <w:num w:numId="6" w16cid:durableId="147286768">
    <w:abstractNumId w:val="0"/>
  </w:num>
  <w:num w:numId="7" w16cid:durableId="1331762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E9"/>
    <w:rsid w:val="00040C89"/>
    <w:rsid w:val="000664C6"/>
    <w:rsid w:val="0007075A"/>
    <w:rsid w:val="000C3272"/>
    <w:rsid w:val="001D6B1E"/>
    <w:rsid w:val="00223960"/>
    <w:rsid w:val="002245C2"/>
    <w:rsid w:val="0024484B"/>
    <w:rsid w:val="002A6F5E"/>
    <w:rsid w:val="002B57DE"/>
    <w:rsid w:val="002C6CC6"/>
    <w:rsid w:val="002C7A53"/>
    <w:rsid w:val="00340BF4"/>
    <w:rsid w:val="003468D7"/>
    <w:rsid w:val="0035101C"/>
    <w:rsid w:val="003847AA"/>
    <w:rsid w:val="003B7901"/>
    <w:rsid w:val="003C142C"/>
    <w:rsid w:val="003D19D8"/>
    <w:rsid w:val="003E6926"/>
    <w:rsid w:val="004B7660"/>
    <w:rsid w:val="004B7D00"/>
    <w:rsid w:val="00507CEF"/>
    <w:rsid w:val="0054092C"/>
    <w:rsid w:val="00591EA6"/>
    <w:rsid w:val="005A4773"/>
    <w:rsid w:val="005D674C"/>
    <w:rsid w:val="0062328F"/>
    <w:rsid w:val="00624B3A"/>
    <w:rsid w:val="0063737A"/>
    <w:rsid w:val="0065043D"/>
    <w:rsid w:val="00673297"/>
    <w:rsid w:val="006E1458"/>
    <w:rsid w:val="006E70B2"/>
    <w:rsid w:val="00707EC8"/>
    <w:rsid w:val="0071064A"/>
    <w:rsid w:val="00763003"/>
    <w:rsid w:val="00767D27"/>
    <w:rsid w:val="00827F7C"/>
    <w:rsid w:val="008B5521"/>
    <w:rsid w:val="009023EA"/>
    <w:rsid w:val="00974F49"/>
    <w:rsid w:val="00981212"/>
    <w:rsid w:val="009C73E9"/>
    <w:rsid w:val="00B62EAF"/>
    <w:rsid w:val="00BA3551"/>
    <w:rsid w:val="00BD66B2"/>
    <w:rsid w:val="00C7135C"/>
    <w:rsid w:val="00D97473"/>
    <w:rsid w:val="00DD75E7"/>
    <w:rsid w:val="00DE7887"/>
    <w:rsid w:val="00E045EC"/>
    <w:rsid w:val="00E07042"/>
    <w:rsid w:val="00E64210"/>
    <w:rsid w:val="00F77CBE"/>
    <w:rsid w:val="00F9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C0A5"/>
  <w15:chartTrackingRefBased/>
  <w15:docId w15:val="{2E07EC71-4824-4745-AF94-242FF4EA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3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06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064A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65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43D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5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43D"/>
    <w:rPr>
      <w:lang w:val="cs-CZ"/>
    </w:rPr>
  </w:style>
  <w:style w:type="paragraph" w:styleId="Revize">
    <w:name w:val="Revision"/>
    <w:hidden/>
    <w:uiPriority w:val="99"/>
    <w:semiHidden/>
    <w:rsid w:val="0007075A"/>
    <w:pPr>
      <w:spacing w:after="0" w:line="240" w:lineRule="auto"/>
    </w:pPr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01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01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014F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14F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dyainve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788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Jaroušek Petr</cp:lastModifiedBy>
  <cp:revision>14</cp:revision>
  <dcterms:created xsi:type="dcterms:W3CDTF">2018-02-09T10:58:00Z</dcterms:created>
  <dcterms:modified xsi:type="dcterms:W3CDTF">2025-05-23T12:16:00Z</dcterms:modified>
</cp:coreProperties>
</file>