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980" w14:textId="77777777" w:rsidR="009C73E9" w:rsidRPr="0065043D" w:rsidRDefault="00AF477F" w:rsidP="0065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PRAVIDLA ODMĚŇOVÁNÍ</w:t>
      </w:r>
    </w:p>
    <w:p w14:paraId="3485BDCA" w14:textId="1BFF6907" w:rsidR="00AF477F" w:rsidRDefault="00AF477F" w:rsidP="00AF477F">
      <w:pPr>
        <w:pStyle w:val="Odstavecseseznamem"/>
        <w:ind w:left="0"/>
        <w:jc w:val="both"/>
      </w:pPr>
      <w:r>
        <w:t>Pravidla</w:t>
      </w:r>
      <w:r w:rsidR="009C73E9">
        <w:t xml:space="preserve"> </w:t>
      </w:r>
      <w:r>
        <w:t xml:space="preserve">odměňování </w:t>
      </w:r>
      <w:r w:rsidR="009C73E9">
        <w:t>společnost</w:t>
      </w:r>
      <w:r w:rsidR="00DE7887">
        <w:t>i</w:t>
      </w:r>
      <w:r w:rsidR="009C73E9">
        <w:t xml:space="preserve"> CODYA investiční společnost a.s.</w:t>
      </w:r>
      <w:r w:rsidR="007C4B4D">
        <w:t>, sídlem</w:t>
      </w:r>
      <w:r w:rsidR="009C73E9">
        <w:t xml:space="preserve"> </w:t>
      </w:r>
      <w:r w:rsidR="00C14726" w:rsidRPr="007806E1">
        <w:t>Lidická 1879/48, Černá Pole, 602 00 Brno</w:t>
      </w:r>
      <w:r w:rsidR="00DE7887">
        <w:t xml:space="preserve"> </w:t>
      </w:r>
      <w:r w:rsidR="009C73E9">
        <w:t>(dále jen „</w:t>
      </w:r>
      <w:r w:rsidR="009C73E9" w:rsidRPr="006E70B2">
        <w:rPr>
          <w:b/>
        </w:rPr>
        <w:t>Společnost</w:t>
      </w:r>
      <w:r w:rsidR="009C73E9">
        <w:t>“)</w:t>
      </w:r>
      <w:r w:rsidR="00DE7887">
        <w:t xml:space="preserve"> </w:t>
      </w:r>
      <w:r>
        <w:t>představují systém odměňování zaměstnanců a vedoucích osob Společnosti, který společnost zavedla a uplatňuje.</w:t>
      </w:r>
    </w:p>
    <w:p w14:paraId="09CEC381" w14:textId="77777777" w:rsidR="00234AFE" w:rsidRDefault="00234AFE" w:rsidP="00AF477F">
      <w:pPr>
        <w:pStyle w:val="Odstavecseseznamem"/>
        <w:ind w:left="0"/>
        <w:jc w:val="both"/>
      </w:pPr>
    </w:p>
    <w:p w14:paraId="5C2EEC86" w14:textId="77777777" w:rsidR="007C3ADB" w:rsidRDefault="00FA0846" w:rsidP="00AF477F">
      <w:pPr>
        <w:pStyle w:val="Odstavecseseznamem"/>
        <w:ind w:left="0"/>
        <w:jc w:val="both"/>
      </w:pPr>
      <w:r>
        <w:t>Pravidla odměňování jsou založena na vyhodnocení vlivu jednotlivých zaměstnanců a vedoucích osob na celkový rizikový profil Společnosti a investičních fondů, které Společnost obhospodařuje, a/nebo jejichž administraci Společnost provádí</w:t>
      </w:r>
      <w:r w:rsidR="00385A43">
        <w:t xml:space="preserve"> (dále jen „</w:t>
      </w:r>
      <w:r w:rsidR="00385A43" w:rsidRPr="00385A43">
        <w:rPr>
          <w:b/>
        </w:rPr>
        <w:t>Fond</w:t>
      </w:r>
      <w:r w:rsidR="00385A43">
        <w:t>“)</w:t>
      </w:r>
      <w:r>
        <w:t xml:space="preserve">. </w:t>
      </w:r>
      <w:r w:rsidR="00234AFE">
        <w:t>Ve vztahu k</w:t>
      </w:r>
      <w:r>
        <w:t xml:space="preserve"> zaměstnanc</w:t>
      </w:r>
      <w:r w:rsidR="00234AFE">
        <w:t>ům</w:t>
      </w:r>
      <w:r>
        <w:t xml:space="preserve"> a vedoucí</w:t>
      </w:r>
      <w:r w:rsidR="00234AFE">
        <w:t>m</w:t>
      </w:r>
      <w:r>
        <w:t xml:space="preserve"> osob</w:t>
      </w:r>
      <w:r w:rsidR="00234AFE">
        <w:t>ám, u kterých je Společností identifikován významný podíl na celkovém rizikovém profilu Společnosti</w:t>
      </w:r>
      <w:r w:rsidR="00385A43">
        <w:t xml:space="preserve"> nebo Fondů</w:t>
      </w:r>
      <w:r w:rsidR="00234AFE">
        <w:t>, Společnost uplatňuje zvláštní zásady odměňování.</w:t>
      </w:r>
      <w:r w:rsidR="00E64097">
        <w:t xml:space="preserve"> Společnost stanovila pravidla odměňování tak</w:t>
      </w:r>
      <w:r w:rsidR="00E64097" w:rsidRPr="00E64097">
        <w:t>, aby podporoval</w:t>
      </w:r>
      <w:r w:rsidR="00E64097">
        <w:t>a</w:t>
      </w:r>
      <w:r w:rsidR="00E64097" w:rsidRPr="00E64097">
        <w:t xml:space="preserve"> řádné a účinné řízení rizik, nepodněcoval</w:t>
      </w:r>
      <w:r w:rsidR="00E64097">
        <w:t>a zaměstnance a vedoucí osoby</w:t>
      </w:r>
      <w:r w:rsidR="00E64097" w:rsidRPr="00E64097">
        <w:t xml:space="preserve"> k podstupování </w:t>
      </w:r>
      <w:r w:rsidR="00E64097">
        <w:t xml:space="preserve">nadměrných </w:t>
      </w:r>
      <w:r w:rsidR="00E64097" w:rsidRPr="00E64097">
        <w:t>rizik</w:t>
      </w:r>
      <w:r w:rsidR="00E64097">
        <w:t>, zamezila střetům zájmů souvisejících s odměňováním zaměstnanců a vedoucích osob a podporovala dlouhodobou stabilitu Společnosti. S</w:t>
      </w:r>
      <w:r w:rsidR="00E64097" w:rsidRPr="00E64097">
        <w:t>ystém odměňování j</w:t>
      </w:r>
      <w:r w:rsidR="00E64097">
        <w:t>e</w:t>
      </w:r>
      <w:r w:rsidR="00E64097" w:rsidRPr="00E64097">
        <w:t xml:space="preserve"> v souladu se strategií Společnosti, stanovenými cíli, hodnotami a jejími dlouhodobými </w:t>
      </w:r>
      <w:r w:rsidR="00E64097">
        <w:t xml:space="preserve">zájmy, </w:t>
      </w:r>
      <w:r w:rsidR="00E64097" w:rsidRPr="00E64097">
        <w:t>podpor</w:t>
      </w:r>
      <w:r w:rsidR="00E64097">
        <w:t>uje</w:t>
      </w:r>
      <w:r w:rsidR="00E64097" w:rsidRPr="00E64097">
        <w:t xml:space="preserve"> řádné a efektivní řízení stávajících i budoucích rizik</w:t>
      </w:r>
      <w:r w:rsidR="00E64097">
        <w:t>.</w:t>
      </w:r>
    </w:p>
    <w:p w14:paraId="0F34C785" w14:textId="77777777" w:rsidR="007C3ADB" w:rsidRDefault="007C3ADB" w:rsidP="00AF477F">
      <w:pPr>
        <w:pStyle w:val="Odstavecseseznamem"/>
        <w:ind w:left="0"/>
        <w:jc w:val="both"/>
      </w:pPr>
    </w:p>
    <w:p w14:paraId="76D6EFF0" w14:textId="59B24533" w:rsidR="00385A43" w:rsidRDefault="00234AFE" w:rsidP="00385A43">
      <w:pPr>
        <w:pStyle w:val="Odstavecseseznamem"/>
        <w:ind w:left="0"/>
        <w:jc w:val="both"/>
      </w:pPr>
      <w:r>
        <w:rPr>
          <w:rFonts w:cstheme="minorHAnsi"/>
        </w:rPr>
        <w:t xml:space="preserve">Odměna zaměstnanců a vedoucích osob se skládá z pevné </w:t>
      </w:r>
      <w:r w:rsidR="00364EB7">
        <w:rPr>
          <w:rFonts w:cstheme="minorHAnsi"/>
        </w:rPr>
        <w:t>složky</w:t>
      </w:r>
      <w:r>
        <w:rPr>
          <w:rFonts w:cstheme="minorHAnsi"/>
        </w:rPr>
        <w:t>, která je nároková (</w:t>
      </w:r>
      <w:r w:rsidRPr="00F46CB2">
        <w:rPr>
          <w:rFonts w:cstheme="minorHAnsi"/>
        </w:rPr>
        <w:t>např.</w:t>
      </w:r>
      <w:r>
        <w:rPr>
          <w:rFonts w:cstheme="minorHAnsi"/>
        </w:rPr>
        <w:t xml:space="preserve"> mzda), pohybliv</w:t>
      </w:r>
      <w:r w:rsidR="00385A43">
        <w:rPr>
          <w:rFonts w:cstheme="minorHAnsi"/>
        </w:rPr>
        <w:t>é</w:t>
      </w:r>
      <w:r>
        <w:rPr>
          <w:rFonts w:cstheme="minorHAnsi"/>
        </w:rPr>
        <w:t xml:space="preserve"> složky (měsíční, čtvrtletní, roční nebo víceleté bonusy a podobné odměny), které nejsou nárokové, dalších finančních plnění a vybraných nepeněžních benefitů.</w:t>
      </w:r>
      <w:r>
        <w:t xml:space="preserve"> N</w:t>
      </w:r>
      <w:r w:rsidR="00AF477F">
        <w:t xml:space="preserve">enároková složka odměny </w:t>
      </w:r>
      <w:r>
        <w:t>může být</w:t>
      </w:r>
      <w:r w:rsidR="00AF477F">
        <w:t xml:space="preserve"> vyplácena </w:t>
      </w:r>
      <w:r>
        <w:t xml:space="preserve">pouze za situace, kdy pro vyplacení svědčí </w:t>
      </w:r>
      <w:r>
        <w:rPr>
          <w:rFonts w:cstheme="minorHAnsi"/>
        </w:rPr>
        <w:t xml:space="preserve">individuální výsledky zaměstnance a vedoucí osoby i výsledky celé Společnosti. </w:t>
      </w:r>
      <w:r>
        <w:t>Zvláštní zásady</w:t>
      </w:r>
      <w:r w:rsidR="00AF477F">
        <w:t xml:space="preserve"> odměňování se pak uplatní ve vztahu k těm </w:t>
      </w:r>
      <w:r w:rsidR="00385A43">
        <w:t>zaměstnancům a vedoucím osobám</w:t>
      </w:r>
      <w:r w:rsidR="00AF477F">
        <w:t xml:space="preserve">, kteří mají významný </w:t>
      </w:r>
      <w:r w:rsidR="00385A43">
        <w:t>podíl na celkovém rizikovém profilu Společnosti nebo Fondů</w:t>
      </w:r>
      <w:r w:rsidR="00AF477F">
        <w:t xml:space="preserve">. </w:t>
      </w:r>
    </w:p>
    <w:p w14:paraId="2EBFB3FD" w14:textId="77777777" w:rsidR="00364EB7" w:rsidRDefault="007C3ADB" w:rsidP="008B34FA">
      <w:pPr>
        <w:jc w:val="both"/>
      </w:pPr>
      <w:r>
        <w:t xml:space="preserve">Kritérii pro stanovení konkrétní výše pevné </w:t>
      </w:r>
      <w:r w:rsidR="00364EB7">
        <w:t>složky</w:t>
      </w:r>
      <w:r>
        <w:t xml:space="preserve"> je</w:t>
      </w:r>
      <w:r w:rsidR="00AF477F">
        <w:t xml:space="preserve"> funkční zařazení</w:t>
      </w:r>
      <w:r>
        <w:t xml:space="preserve"> zaměstnance a vedoucí osoby</w:t>
      </w:r>
      <w:r w:rsidR="00AF477F">
        <w:t xml:space="preserve">, konkrétní </w:t>
      </w:r>
      <w:r>
        <w:t xml:space="preserve">pracovní </w:t>
      </w:r>
      <w:r w:rsidR="00AF477F">
        <w:t xml:space="preserve">náplň a s tím </w:t>
      </w:r>
      <w:r>
        <w:t>související</w:t>
      </w:r>
      <w:r w:rsidR="00AF477F">
        <w:t xml:space="preserve"> </w:t>
      </w:r>
      <w:r w:rsidRPr="008B34FA">
        <w:rPr>
          <w:rFonts w:cstheme="minorHAnsi"/>
        </w:rPr>
        <w:t>pravomoci</w:t>
      </w:r>
      <w:r w:rsidR="00C17E35" w:rsidRPr="008B34FA">
        <w:rPr>
          <w:rFonts w:cstheme="minorHAnsi"/>
        </w:rPr>
        <w:t xml:space="preserve"> a o</w:t>
      </w:r>
      <w:r w:rsidRPr="008B34FA">
        <w:rPr>
          <w:rFonts w:cstheme="minorHAnsi"/>
        </w:rPr>
        <w:t>dpovědnost</w:t>
      </w:r>
      <w:r w:rsidR="00AF477F">
        <w:t xml:space="preserve">. O </w:t>
      </w:r>
      <w:r w:rsidR="00C17E35">
        <w:t xml:space="preserve">maximální </w:t>
      </w:r>
      <w:r w:rsidR="00AF477F">
        <w:t xml:space="preserve">výši </w:t>
      </w:r>
      <w:r w:rsidR="00C17E35">
        <w:t>pohyblivé složky</w:t>
      </w:r>
      <w:r w:rsidR="00AF477F">
        <w:t xml:space="preserve"> </w:t>
      </w:r>
      <w:r w:rsidR="00C17E35">
        <w:t>jednotlivých zaměstnanců a vedoucích osob</w:t>
      </w:r>
      <w:r w:rsidR="00AF477F">
        <w:t xml:space="preserve"> rozhoduje představenstvo </w:t>
      </w:r>
      <w:r w:rsidR="00C17E35">
        <w:t>Společnosti</w:t>
      </w:r>
      <w:r w:rsidR="00AF477F">
        <w:t xml:space="preserve">. </w:t>
      </w:r>
      <w:r w:rsidR="00C17E35">
        <w:t>Pohyblivá složka</w:t>
      </w:r>
      <w:r w:rsidR="00AF477F">
        <w:t xml:space="preserve"> </w:t>
      </w:r>
      <w:r w:rsidR="00C17E35">
        <w:t xml:space="preserve">se určí </w:t>
      </w:r>
      <w:r w:rsidR="00C17E35" w:rsidRPr="008B34FA">
        <w:rPr>
          <w:rFonts w:cstheme="minorHAnsi"/>
        </w:rPr>
        <w:t>na základě vyhodnocení splnění stanovených individuálních cílů</w:t>
      </w:r>
      <w:r w:rsidR="00C17E35">
        <w:t xml:space="preserve"> zaměstnance a vedoucí osoby</w:t>
      </w:r>
      <w:r w:rsidR="00AF477F">
        <w:t xml:space="preserve"> v hodnoceném období a výsledcích </w:t>
      </w:r>
      <w:r w:rsidR="00C17E35">
        <w:t>Společnost</w:t>
      </w:r>
      <w:r w:rsidR="008B34FA">
        <w:t xml:space="preserve">i, přičemž se </w:t>
      </w:r>
      <w:r w:rsidR="00364EB7" w:rsidRPr="00364EB7">
        <w:t>při</w:t>
      </w:r>
      <w:r w:rsidR="008B34FA">
        <w:t xml:space="preserve"> </w:t>
      </w:r>
      <w:r w:rsidR="00364EB7" w:rsidRPr="00364EB7">
        <w:t xml:space="preserve">hodnocení individuální výkonnosti </w:t>
      </w:r>
      <w:r w:rsidR="008B34FA">
        <w:t>zaměstnance a vedoucích osob</w:t>
      </w:r>
      <w:r w:rsidR="00364EB7" w:rsidRPr="00364EB7">
        <w:t xml:space="preserve"> zohlední finanční i nefinanční kritéria</w:t>
      </w:r>
      <w:r w:rsidR="008B34FA">
        <w:t>.</w:t>
      </w:r>
    </w:p>
    <w:p w14:paraId="0B68B6AC" w14:textId="77777777" w:rsidR="00364EB7" w:rsidRDefault="00364EB7" w:rsidP="00385A43">
      <w:pPr>
        <w:pStyle w:val="Odstavecseseznamem"/>
        <w:ind w:left="0"/>
        <w:jc w:val="both"/>
      </w:pPr>
      <w:r w:rsidRPr="00364EB7">
        <w:t>Pevná a pohyblivá složka celkové odměny osoby jsou vhodně vyvážené</w:t>
      </w:r>
      <w:r>
        <w:t>. P</w:t>
      </w:r>
      <w:r w:rsidRPr="00364EB7">
        <w:t xml:space="preserve">evná složka odměny tvoří dostatečně velký podíl celkové odměny tak, aby bylo možno uplatňovat pružné zásady pro pohyblivou složku odměny, včetně možnosti pohyblivou složku odměny vůbec nevyplatit. </w:t>
      </w:r>
      <w:r>
        <w:t>Společnost</w:t>
      </w:r>
      <w:r w:rsidRPr="00364EB7">
        <w:t xml:space="preserve"> stanoví vhodný poměr mezi pevnou a pohyblivou složkou odměny individuálně pro jednotlivé </w:t>
      </w:r>
      <w:r>
        <w:t>zaměstnance a vedoucí osoby v jejich smlouvách (např. pracovní smlouva, smlouva o výkonu funkce nebo dohoda o mzdě)</w:t>
      </w:r>
      <w:r w:rsidRPr="00364EB7">
        <w:t>.</w:t>
      </w:r>
    </w:p>
    <w:p w14:paraId="4B349C15" w14:textId="77777777" w:rsidR="00385A43" w:rsidRDefault="000F59DF" w:rsidP="000F59DF">
      <w:pPr>
        <w:jc w:val="both"/>
      </w:pPr>
      <w:r>
        <w:t>Zaměstnanci a vedoucí osoby</w:t>
      </w:r>
      <w:r w:rsidR="00AF477F">
        <w:t>,</w:t>
      </w:r>
      <w:r>
        <w:t xml:space="preserve"> u nichž byl Společností identifikován významný podíl na rizikovém profilu Společnosti nebo Fondů jsou </w:t>
      </w:r>
      <w:r w:rsidR="00AF477F">
        <w:t xml:space="preserve">členové představenstva </w:t>
      </w:r>
      <w:r w:rsidR="002163FF">
        <w:t>a vedoucí osoby</w:t>
      </w:r>
      <w:r w:rsidR="00AF477F">
        <w:t xml:space="preserve">. </w:t>
      </w:r>
      <w:r w:rsidR="008B34FA">
        <w:t>Hodnocení výkonnosti těchto osob je navíc založeno na víceletém základě tak, aby bylo zajištěno, že proces hodnocení je založen na dlouhodobější výkonnosti a že vyplácení částí pohyblivé složky výkonnostní odměny je rozloženo v období, v němž jsou zohledněny odkupy cenných papírů Fondů, i rizika spojená s investováním.</w:t>
      </w:r>
    </w:p>
    <w:p w14:paraId="3C54A2ED" w14:textId="77777777" w:rsidR="00385A43" w:rsidRDefault="00385A43" w:rsidP="00AF477F">
      <w:pPr>
        <w:pStyle w:val="Odstavecseseznamem"/>
      </w:pPr>
    </w:p>
    <w:p w14:paraId="15FB3B03" w14:textId="77777777" w:rsidR="00AF477F" w:rsidRDefault="00AF477F" w:rsidP="008B34FA">
      <w:pPr>
        <w:jc w:val="both"/>
      </w:pPr>
      <w:r>
        <w:lastRenderedPageBreak/>
        <w:t xml:space="preserve">Na pravidla odměňování výše uvedených osob se dále uplatňují </w:t>
      </w:r>
      <w:r w:rsidR="008B34FA">
        <w:t>pravidla o</w:t>
      </w:r>
      <w:r>
        <w:t xml:space="preserve"> odkládání výplaty </w:t>
      </w:r>
      <w:r w:rsidR="008B34FA">
        <w:t>části variabilní složky</w:t>
      </w:r>
      <w:r>
        <w:t xml:space="preserve"> následujícím způsobem:</w:t>
      </w:r>
    </w:p>
    <w:p w14:paraId="62139E8E" w14:textId="77777777" w:rsidR="001C68DE" w:rsidRPr="001C68DE" w:rsidRDefault="00AF477F" w:rsidP="001C68DE">
      <w:pPr>
        <w:pStyle w:val="Zkladntextslovan"/>
        <w:numPr>
          <w:ilvl w:val="0"/>
          <w:numId w:val="4"/>
        </w:numPr>
        <w:spacing w:after="60"/>
        <w:ind w:left="1134" w:hanging="425"/>
        <w:rPr>
          <w:rFonts w:asciiTheme="minorHAnsi" w:hAnsiTheme="minorHAnsi" w:cstheme="minorHAnsi"/>
          <w:color w:val="auto"/>
          <w:szCs w:val="22"/>
        </w:rPr>
      </w:pPr>
      <w:r w:rsidRPr="001C68DE">
        <w:rPr>
          <w:rFonts w:asciiTheme="minorHAnsi" w:hAnsiTheme="minorHAnsi" w:cstheme="minorHAnsi"/>
          <w:color w:val="auto"/>
          <w:szCs w:val="22"/>
        </w:rPr>
        <w:t xml:space="preserve">55 % </w:t>
      </w:r>
      <w:r w:rsidR="008B34FA" w:rsidRPr="001C68DE">
        <w:rPr>
          <w:rFonts w:asciiTheme="minorHAnsi" w:hAnsiTheme="minorHAnsi" w:cstheme="minorHAnsi"/>
          <w:color w:val="auto"/>
          <w:szCs w:val="22"/>
        </w:rPr>
        <w:t>variab</w:t>
      </w:r>
      <w:r w:rsidR="001C68DE" w:rsidRPr="001C68DE">
        <w:rPr>
          <w:rFonts w:asciiTheme="minorHAnsi" w:hAnsiTheme="minorHAnsi" w:cstheme="minorHAnsi"/>
          <w:color w:val="auto"/>
          <w:szCs w:val="22"/>
        </w:rPr>
        <w:t>ilní složky přiznané na základě vyhodnocení stanovených cílů,</w:t>
      </w:r>
      <w:r w:rsidRPr="001C68DE">
        <w:rPr>
          <w:rFonts w:asciiTheme="minorHAnsi" w:hAnsiTheme="minorHAnsi" w:cstheme="minorHAnsi"/>
          <w:color w:val="auto"/>
          <w:szCs w:val="22"/>
        </w:rPr>
        <w:t xml:space="preserve"> se vyplácí po uplynutí příslušného hodnoceného období</w:t>
      </w:r>
      <w:r w:rsidR="001C68DE">
        <w:rPr>
          <w:rFonts w:asciiTheme="minorHAnsi" w:hAnsiTheme="minorHAnsi" w:cstheme="minorHAnsi"/>
          <w:color w:val="auto"/>
          <w:szCs w:val="22"/>
        </w:rPr>
        <w:t>;</w:t>
      </w:r>
    </w:p>
    <w:p w14:paraId="25B69DD5" w14:textId="77777777" w:rsidR="00AF477F" w:rsidRPr="001C68DE" w:rsidRDefault="001C68DE" w:rsidP="001C68DE">
      <w:pPr>
        <w:pStyle w:val="Zkladntextslovan"/>
        <w:numPr>
          <w:ilvl w:val="0"/>
          <w:numId w:val="4"/>
        </w:numPr>
        <w:spacing w:after="60"/>
        <w:ind w:left="1134" w:hanging="425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45% variabilní složky </w:t>
      </w:r>
      <w:r w:rsidRPr="001C68DE">
        <w:rPr>
          <w:rFonts w:asciiTheme="minorHAnsi" w:hAnsiTheme="minorHAnsi" w:cstheme="minorHAnsi"/>
          <w:color w:val="auto"/>
          <w:szCs w:val="22"/>
        </w:rPr>
        <w:t>přiznané na základě vyhodnocení stanovených cílů</w:t>
      </w:r>
      <w:r>
        <w:rPr>
          <w:rFonts w:asciiTheme="minorHAnsi" w:hAnsiTheme="minorHAnsi" w:cstheme="minorHAnsi"/>
          <w:color w:val="auto"/>
          <w:szCs w:val="22"/>
        </w:rPr>
        <w:t xml:space="preserve"> se vyplácí v rovnoměrných částkách vždy v den výročí 1., 2. a 3. roku od výplaty první části variabilní složky odměny, a to za podmínky, že nedojde k žádným dopadům ani úpravám ve vztahu k původním kritériím, na jejichž základě bylo provedeno původní vyhodnocení.</w:t>
      </w:r>
    </w:p>
    <w:p w14:paraId="69D1AB99" w14:textId="77777777" w:rsidR="00AF477F" w:rsidRDefault="00AF477F" w:rsidP="008B34FA">
      <w:pPr>
        <w:jc w:val="both"/>
      </w:pPr>
      <w:r>
        <w:t>Společnost rovněž může odejmout již přiznan</w:t>
      </w:r>
      <w:r w:rsidR="001C68DE">
        <w:t>ou</w:t>
      </w:r>
      <w:r>
        <w:t>, avšak nevyplacen</w:t>
      </w:r>
      <w:r w:rsidR="001C68DE">
        <w:t>ou</w:t>
      </w:r>
      <w:r>
        <w:t xml:space="preserve"> </w:t>
      </w:r>
      <w:r w:rsidR="001C68DE">
        <w:t>pohyblivou složku</w:t>
      </w:r>
      <w:r>
        <w:t xml:space="preserve"> a požadovat zpět již vyplacen</w:t>
      </w:r>
      <w:r w:rsidR="001C68DE">
        <w:t>ou</w:t>
      </w:r>
      <w:r>
        <w:t xml:space="preserve"> </w:t>
      </w:r>
      <w:r w:rsidR="001C68DE">
        <w:t>pohyblivou složku</w:t>
      </w:r>
      <w:r>
        <w:t xml:space="preserve">. </w:t>
      </w:r>
      <w:r w:rsidR="001C68DE">
        <w:t xml:space="preserve">Tyto osoby nesmí </w:t>
      </w:r>
      <w:r w:rsidR="001C68DE" w:rsidRPr="001C68DE">
        <w:t>uplatňova</w:t>
      </w:r>
      <w:r w:rsidR="001C68DE">
        <w:t>t</w:t>
      </w:r>
      <w:r w:rsidR="001C68DE" w:rsidRPr="001C68DE">
        <w:t xml:space="preserve"> pojištění nebo jiné individuální zajišťovací strategie spojené s jejich odměňováním nebo s jejich odpovědností, které by mohly ohrozit účinky prvků zásad odměňování zaměřených na snižování rizika</w:t>
      </w:r>
      <w:r>
        <w:t>.</w:t>
      </w:r>
    </w:p>
    <w:p w14:paraId="2BB107C4" w14:textId="77777777" w:rsidR="00507CEF" w:rsidRDefault="002163FF" w:rsidP="002163FF">
      <w:pPr>
        <w:pStyle w:val="Odstavecseseznamem"/>
        <w:ind w:left="0"/>
        <w:jc w:val="both"/>
      </w:pPr>
      <w:r>
        <w:t xml:space="preserve">S ohledem na velikost, organizační uspořádání, povahu, rozsah a složitost činností, Společnost vyloučila použití pravidel na odměňování těchto osob obsažených v ustanovení části II. bodu 9 přílohy č. 1 vyhl. č. 244/2013 Sb., </w:t>
      </w:r>
      <w:r w:rsidRPr="002163FF">
        <w:t>o bližší úpravě některých pravidel zákona o investičních společnostech a investičních fondech</w:t>
      </w:r>
      <w:r>
        <w:t>, ve znění pozdějších předpisů a rovněž nezřizuje výbor pro odměňování.</w:t>
      </w:r>
    </w:p>
    <w:p w14:paraId="4183B55B" w14:textId="77777777" w:rsidR="00385A43" w:rsidRDefault="00385A43" w:rsidP="00385A43">
      <w:pPr>
        <w:pStyle w:val="Odstavecseseznamem"/>
        <w:ind w:left="0"/>
        <w:jc w:val="both"/>
      </w:pPr>
      <w:r>
        <w:t xml:space="preserve">Pravidla odměňování jsou veřejně přístupná na internetové adrese Společnosti </w:t>
      </w:r>
      <w:hyperlink r:id="rId7" w:history="1">
        <w:r w:rsidRPr="008F600B">
          <w:rPr>
            <w:rStyle w:val="Hypertextovodkaz"/>
          </w:rPr>
          <w:t>www.codyainvest.cz</w:t>
        </w:r>
      </w:hyperlink>
      <w:r>
        <w:t>. Společnost investorovi bezplatně poskytne tato Pravidla odměňování a příp. další podrobnosti v papírové podobě na požádání.</w:t>
      </w:r>
    </w:p>
    <w:p w14:paraId="27A9BEEF" w14:textId="77777777" w:rsidR="005F4305" w:rsidRDefault="005F4305" w:rsidP="00385A43">
      <w:pPr>
        <w:pStyle w:val="Odstavecseseznamem"/>
        <w:ind w:left="0"/>
        <w:jc w:val="both"/>
      </w:pPr>
    </w:p>
    <w:p w14:paraId="74D14503" w14:textId="52F761EE" w:rsidR="009C73E9" w:rsidRDefault="00385A43" w:rsidP="00385A43">
      <w:pPr>
        <w:pStyle w:val="Odstavecseseznamem"/>
        <w:ind w:left="0"/>
        <w:jc w:val="both"/>
      </w:pPr>
      <w:r>
        <w:t>Tato Pravidla odměňování jsou</w:t>
      </w:r>
      <w:r w:rsidR="009C73E9">
        <w:t xml:space="preserve"> platn</w:t>
      </w:r>
      <w:r>
        <w:t>á</w:t>
      </w:r>
      <w:r w:rsidR="009C73E9">
        <w:t xml:space="preserve"> a účinn</w:t>
      </w:r>
      <w:r>
        <w:t>á</w:t>
      </w:r>
      <w:r w:rsidR="009C73E9">
        <w:t xml:space="preserve"> dnem </w:t>
      </w:r>
      <w:r w:rsidR="0071064A">
        <w:t>1.</w:t>
      </w:r>
      <w:r w:rsidR="005F4305">
        <w:t>6</w:t>
      </w:r>
      <w:r w:rsidR="0071064A">
        <w:t>.20</w:t>
      </w:r>
      <w:r w:rsidR="00884B48">
        <w:t>25</w:t>
      </w:r>
      <w:r w:rsidR="002A6F5E">
        <w:t>.</w:t>
      </w:r>
    </w:p>
    <w:sectPr w:rsidR="009C73E9" w:rsidSect="00D974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19C0" w14:textId="77777777" w:rsidR="005038EB" w:rsidRDefault="005038EB" w:rsidP="0065043D">
      <w:pPr>
        <w:spacing w:after="0" w:line="240" w:lineRule="auto"/>
      </w:pPr>
      <w:r>
        <w:separator/>
      </w:r>
    </w:p>
  </w:endnote>
  <w:endnote w:type="continuationSeparator" w:id="0">
    <w:p w14:paraId="5660C905" w14:textId="77777777" w:rsidR="005038EB" w:rsidRDefault="005038EB" w:rsidP="006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4026" w14:textId="77777777" w:rsidR="005038EB" w:rsidRDefault="005038EB" w:rsidP="0065043D">
      <w:pPr>
        <w:spacing w:after="0" w:line="240" w:lineRule="auto"/>
      </w:pPr>
      <w:r>
        <w:separator/>
      </w:r>
    </w:p>
  </w:footnote>
  <w:footnote w:type="continuationSeparator" w:id="0">
    <w:p w14:paraId="52C5B76A" w14:textId="77777777" w:rsidR="005038EB" w:rsidRDefault="005038EB" w:rsidP="006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CD6D" w14:textId="77777777" w:rsidR="0065043D" w:rsidRDefault="0065043D">
    <w:pPr>
      <w:pStyle w:val="Zhlav"/>
    </w:pPr>
    <w:r>
      <w:t xml:space="preserve">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65A541B1" wp14:editId="0FD62275">
          <wp:extent cx="12477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9748" cy="515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B99B1A" w14:textId="77777777" w:rsidR="0065043D" w:rsidRDefault="0065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454B"/>
    <w:multiLevelType w:val="hybridMultilevel"/>
    <w:tmpl w:val="73DE8AB8"/>
    <w:lvl w:ilvl="0" w:tplc="02A0F62A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6C0016C"/>
    <w:multiLevelType w:val="hybridMultilevel"/>
    <w:tmpl w:val="73120F08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5C073022"/>
    <w:multiLevelType w:val="hybridMultilevel"/>
    <w:tmpl w:val="A28690A2"/>
    <w:lvl w:ilvl="0" w:tplc="F4DE9A1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1B69AF"/>
    <w:multiLevelType w:val="hybridMultilevel"/>
    <w:tmpl w:val="FC78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9966">
    <w:abstractNumId w:val="3"/>
  </w:num>
  <w:num w:numId="2" w16cid:durableId="442113945">
    <w:abstractNumId w:val="2"/>
  </w:num>
  <w:num w:numId="3" w16cid:durableId="1158615181">
    <w:abstractNumId w:val="0"/>
  </w:num>
  <w:num w:numId="4" w16cid:durableId="96863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E9"/>
    <w:rsid w:val="000422D5"/>
    <w:rsid w:val="000F59DF"/>
    <w:rsid w:val="001C68DE"/>
    <w:rsid w:val="002163FF"/>
    <w:rsid w:val="00234AFE"/>
    <w:rsid w:val="00291C87"/>
    <w:rsid w:val="002A6F5E"/>
    <w:rsid w:val="002C6CC6"/>
    <w:rsid w:val="00364EB7"/>
    <w:rsid w:val="00385A43"/>
    <w:rsid w:val="003B7901"/>
    <w:rsid w:val="003D19D8"/>
    <w:rsid w:val="004B7660"/>
    <w:rsid w:val="004B7D00"/>
    <w:rsid w:val="005038EB"/>
    <w:rsid w:val="00507CEF"/>
    <w:rsid w:val="005A4773"/>
    <w:rsid w:val="005F4305"/>
    <w:rsid w:val="0065043D"/>
    <w:rsid w:val="00673297"/>
    <w:rsid w:val="006E1458"/>
    <w:rsid w:val="006E70B2"/>
    <w:rsid w:val="0071064A"/>
    <w:rsid w:val="007C3ADB"/>
    <w:rsid w:val="007C4B4D"/>
    <w:rsid w:val="00884B48"/>
    <w:rsid w:val="008B34FA"/>
    <w:rsid w:val="008B5521"/>
    <w:rsid w:val="00981212"/>
    <w:rsid w:val="009C73E9"/>
    <w:rsid w:val="00A1634A"/>
    <w:rsid w:val="00AF477F"/>
    <w:rsid w:val="00C14726"/>
    <w:rsid w:val="00C17E35"/>
    <w:rsid w:val="00D565DE"/>
    <w:rsid w:val="00D97473"/>
    <w:rsid w:val="00DE7887"/>
    <w:rsid w:val="00E64097"/>
    <w:rsid w:val="00E64210"/>
    <w:rsid w:val="00F46CB2"/>
    <w:rsid w:val="00F8600C"/>
    <w:rsid w:val="00FA0846"/>
    <w:rsid w:val="00FD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DFB0"/>
  <w15:chartTrackingRefBased/>
  <w15:docId w15:val="{2E07EC71-4824-4745-AF94-242FF4E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3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06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6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5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D"/>
    <w:rPr>
      <w:lang w:val="cs-CZ"/>
    </w:rPr>
  </w:style>
  <w:style w:type="paragraph" w:customStyle="1" w:styleId="Zkladntextslovan">
    <w:name w:val="Základní text číslovaný"/>
    <w:basedOn w:val="Zkladntext"/>
    <w:uiPriority w:val="99"/>
    <w:rsid w:val="001C68DE"/>
    <w:pPr>
      <w:tabs>
        <w:tab w:val="num" w:pos="697"/>
      </w:tabs>
      <w:spacing w:line="240" w:lineRule="auto"/>
      <w:ind w:left="697" w:hanging="697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68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68DE"/>
    <w:rPr>
      <w:lang w:val="cs-CZ"/>
    </w:rPr>
  </w:style>
  <w:style w:type="paragraph" w:styleId="Revize">
    <w:name w:val="Revision"/>
    <w:hidden/>
    <w:uiPriority w:val="99"/>
    <w:semiHidden/>
    <w:rsid w:val="00C14726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dyainve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Jaroušek Petr</cp:lastModifiedBy>
  <cp:revision>9</cp:revision>
  <dcterms:created xsi:type="dcterms:W3CDTF">2018-02-05T07:42:00Z</dcterms:created>
  <dcterms:modified xsi:type="dcterms:W3CDTF">2025-05-23T12:13:00Z</dcterms:modified>
</cp:coreProperties>
</file>